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E00048" w14:textId="77777777" w:rsidR="000224BB" w:rsidRPr="006071B6" w:rsidRDefault="000224BB" w:rsidP="00E900E5">
      <w:pPr>
        <w:pStyle w:val="PaperTitle"/>
        <w:spacing w:after="120"/>
        <w:rPr>
          <w:rFonts w:ascii="Times New Roman" w:hAnsi="Times New Roman" w:cs="Times New Roman"/>
          <w:iCs/>
          <w:szCs w:val="28"/>
          <w:lang w:val="id-ID"/>
        </w:rPr>
      </w:pPr>
    </w:p>
    <w:p w14:paraId="5B77D00D" w14:textId="77777777" w:rsidR="009E51F9" w:rsidRDefault="009E51F9" w:rsidP="009E51F9">
      <w:pPr>
        <w:pStyle w:val="PlainText"/>
        <w:jc w:val="center"/>
        <w:rPr>
          <w:rFonts w:ascii="Times New Roman" w:hAnsi="Times New Roman"/>
          <w:sz w:val="28"/>
          <w:szCs w:val="24"/>
        </w:rPr>
      </w:pPr>
      <w:r w:rsidRPr="009E51F9">
        <w:rPr>
          <w:rStyle w:val="jlqj4b"/>
          <w:rFonts w:asciiTheme="majorBidi" w:hAnsiTheme="majorBidi" w:cstheme="majorBidi"/>
          <w:b/>
          <w:bCs/>
          <w:sz w:val="28"/>
          <w:szCs w:val="28"/>
          <w:lang w:val="en"/>
        </w:rPr>
        <w:t xml:space="preserve">MIDDLE ECONOMIC GROWTH TOWARDS </w:t>
      </w:r>
      <w:r>
        <w:rPr>
          <w:rStyle w:val="jlqj4b"/>
          <w:rFonts w:asciiTheme="majorBidi" w:hAnsiTheme="majorBidi" w:cstheme="majorBidi"/>
          <w:b/>
          <w:bCs/>
          <w:sz w:val="28"/>
          <w:szCs w:val="28"/>
          <w:lang w:val="en"/>
        </w:rPr>
        <w:t xml:space="preserve">TO </w:t>
      </w:r>
      <w:proofErr w:type="gramStart"/>
      <w:r>
        <w:rPr>
          <w:rStyle w:val="jlqj4b"/>
          <w:rFonts w:asciiTheme="majorBidi" w:hAnsiTheme="majorBidi" w:cstheme="majorBidi"/>
          <w:b/>
          <w:bCs/>
          <w:sz w:val="28"/>
          <w:szCs w:val="28"/>
          <w:lang w:val="en"/>
        </w:rPr>
        <w:t xml:space="preserve">DEVELOPMENT </w:t>
      </w:r>
      <w:r w:rsidRPr="009E51F9">
        <w:rPr>
          <w:rStyle w:val="jlqj4b"/>
          <w:rFonts w:asciiTheme="majorBidi" w:hAnsiTheme="majorBidi" w:cstheme="majorBidi"/>
          <w:b/>
          <w:bCs/>
          <w:sz w:val="28"/>
          <w:szCs w:val="28"/>
          <w:lang w:val="en"/>
        </w:rPr>
        <w:t xml:space="preserve"> OF</w:t>
      </w:r>
      <w:proofErr w:type="gramEnd"/>
      <w:r w:rsidRPr="009E51F9">
        <w:rPr>
          <w:rStyle w:val="jlqj4b"/>
          <w:rFonts w:asciiTheme="majorBidi" w:hAnsiTheme="majorBidi" w:cstheme="majorBidi"/>
          <w:b/>
          <w:bCs/>
          <w:sz w:val="28"/>
          <w:szCs w:val="28"/>
          <w:lang w:val="en"/>
        </w:rPr>
        <w:t xml:space="preserve"> E-COMMERCE IN SOUTHEAST ASIA</w:t>
      </w:r>
      <w:r w:rsidRPr="0020036D">
        <w:rPr>
          <w:rFonts w:ascii="Times New Roman" w:hAnsi="Times New Roman"/>
          <w:sz w:val="28"/>
          <w:szCs w:val="24"/>
        </w:rPr>
        <w:t xml:space="preserve"> </w:t>
      </w:r>
    </w:p>
    <w:p w14:paraId="1E757358" w14:textId="77777777" w:rsidR="006071B6" w:rsidRDefault="006071B6" w:rsidP="006071B6">
      <w:pPr>
        <w:pStyle w:val="PlainText"/>
        <w:jc w:val="center"/>
        <w:rPr>
          <w:rFonts w:ascii="Times New Roman" w:hAnsi="Times New Roman"/>
          <w:b/>
          <w:bCs/>
          <w:sz w:val="18"/>
          <w:szCs w:val="18"/>
        </w:rPr>
      </w:pPr>
    </w:p>
    <w:p w14:paraId="1AD6AAAC" w14:textId="77777777" w:rsidR="006071B6" w:rsidRDefault="009E51F9" w:rsidP="009E51F9">
      <w:pPr>
        <w:pStyle w:val="PlainText"/>
        <w:jc w:val="center"/>
        <w:rPr>
          <w:rFonts w:ascii="Times New Roman" w:hAnsi="Times New Roman"/>
          <w:b/>
          <w:bCs/>
          <w:sz w:val="22"/>
          <w:szCs w:val="22"/>
          <w:vertAlign w:val="superscript"/>
          <w:lang w:eastAsia="zh-CN"/>
        </w:rPr>
      </w:pPr>
      <w:proofErr w:type="spellStart"/>
      <w:r>
        <w:rPr>
          <w:rFonts w:ascii="Times New Roman" w:hAnsi="Times New Roman"/>
          <w:b/>
          <w:bCs/>
          <w:sz w:val="22"/>
          <w:szCs w:val="22"/>
        </w:rPr>
        <w:t>Ika</w:t>
      </w:r>
      <w:proofErr w:type="spellEnd"/>
      <w:r>
        <w:rPr>
          <w:rFonts w:ascii="Times New Roman" w:hAnsi="Times New Roman"/>
          <w:b/>
          <w:bCs/>
          <w:sz w:val="22"/>
          <w:szCs w:val="22"/>
        </w:rPr>
        <w:t xml:space="preserve"> Sri Hastuti</w:t>
      </w:r>
      <w:r w:rsidR="006071B6" w:rsidRPr="00FE658D">
        <w:rPr>
          <w:rFonts w:ascii="Times New Roman" w:hAnsi="Times New Roman"/>
          <w:b/>
          <w:bCs/>
          <w:sz w:val="22"/>
          <w:szCs w:val="22"/>
          <w:vertAlign w:val="superscript"/>
          <w:lang w:eastAsia="zh-CN"/>
        </w:rPr>
        <w:t>1</w:t>
      </w:r>
      <w:r w:rsidR="006071B6" w:rsidRPr="00FE658D">
        <w:rPr>
          <w:rFonts w:ascii="Times New Roman" w:hAnsi="Times New Roman"/>
          <w:b/>
          <w:bCs/>
          <w:sz w:val="22"/>
          <w:szCs w:val="22"/>
          <w:lang w:eastAsia="zh-CN"/>
        </w:rPr>
        <w:t>,</w:t>
      </w:r>
      <w:r w:rsidR="006071B6" w:rsidRPr="00FE658D">
        <w:rPr>
          <w:rFonts w:ascii="Times New Roman" w:hAnsi="Times New Roman"/>
          <w:b/>
          <w:bCs/>
          <w:sz w:val="22"/>
          <w:szCs w:val="22"/>
        </w:rPr>
        <w:t xml:space="preserve"> </w:t>
      </w:r>
      <w:proofErr w:type="spellStart"/>
      <w:r>
        <w:rPr>
          <w:rFonts w:ascii="Times New Roman" w:hAnsi="Times New Roman"/>
          <w:b/>
          <w:bCs/>
          <w:sz w:val="22"/>
          <w:szCs w:val="22"/>
        </w:rPr>
        <w:t>Asep</w:t>
      </w:r>
      <w:proofErr w:type="spellEnd"/>
      <w:r>
        <w:rPr>
          <w:rFonts w:ascii="Times New Roman" w:hAnsi="Times New Roman"/>
          <w:b/>
          <w:bCs/>
          <w:sz w:val="22"/>
          <w:szCs w:val="22"/>
        </w:rPr>
        <w:t xml:space="preserve"> </w:t>
      </w:r>
      <w:proofErr w:type="spellStart"/>
      <w:r>
        <w:rPr>
          <w:rFonts w:ascii="Times New Roman" w:hAnsi="Times New Roman"/>
          <w:b/>
          <w:bCs/>
          <w:sz w:val="22"/>
          <w:szCs w:val="22"/>
        </w:rPr>
        <w:t>Kusdiman</w:t>
      </w:r>
      <w:proofErr w:type="spellEnd"/>
      <w:r>
        <w:rPr>
          <w:rFonts w:ascii="Times New Roman" w:hAnsi="Times New Roman"/>
          <w:b/>
          <w:bCs/>
          <w:sz w:val="22"/>
          <w:szCs w:val="22"/>
        </w:rPr>
        <w:t xml:space="preserve"> Jauhari</w:t>
      </w:r>
      <w:r w:rsidR="006071B6" w:rsidRPr="00FE658D">
        <w:rPr>
          <w:rFonts w:ascii="Times New Roman" w:hAnsi="Times New Roman"/>
          <w:b/>
          <w:bCs/>
          <w:sz w:val="22"/>
          <w:szCs w:val="22"/>
          <w:vertAlign w:val="superscript"/>
          <w:lang w:eastAsia="zh-CN"/>
        </w:rPr>
        <w:t>2</w:t>
      </w:r>
    </w:p>
    <w:p w14:paraId="385E48B3" w14:textId="77777777" w:rsidR="009E51F9" w:rsidRDefault="006071B6" w:rsidP="009E51F9">
      <w:pPr>
        <w:pStyle w:val="PlainText"/>
        <w:jc w:val="center"/>
        <w:rPr>
          <w:rFonts w:ascii="Times New Roman" w:hAnsi="Times New Roman"/>
          <w:b/>
          <w:bCs/>
          <w:szCs w:val="22"/>
        </w:rPr>
      </w:pPr>
      <w:r w:rsidRPr="00FE658D">
        <w:rPr>
          <w:rFonts w:ascii="Times New Roman" w:hAnsi="Times New Roman"/>
          <w:b/>
          <w:bCs/>
          <w:szCs w:val="22"/>
          <w:vertAlign w:val="superscript"/>
          <w:lang w:eastAsia="zh-CN"/>
        </w:rPr>
        <w:t>1</w:t>
      </w:r>
      <w:r w:rsidR="009E51F9">
        <w:rPr>
          <w:rFonts w:ascii="Times New Roman" w:hAnsi="Times New Roman"/>
          <w:b/>
          <w:bCs/>
          <w:szCs w:val="22"/>
        </w:rPr>
        <w:t>International Relations</w:t>
      </w:r>
      <w:r w:rsidRPr="00FE658D">
        <w:rPr>
          <w:rFonts w:ascii="Times New Roman" w:hAnsi="Times New Roman"/>
          <w:b/>
          <w:bCs/>
          <w:szCs w:val="22"/>
        </w:rPr>
        <w:t xml:space="preserve">, </w:t>
      </w:r>
      <w:proofErr w:type="spellStart"/>
      <w:r w:rsidR="009E51F9">
        <w:rPr>
          <w:rFonts w:ascii="Times New Roman" w:hAnsi="Times New Roman"/>
          <w:b/>
          <w:bCs/>
          <w:szCs w:val="22"/>
        </w:rPr>
        <w:t>Pasundan</w:t>
      </w:r>
      <w:proofErr w:type="spellEnd"/>
      <w:r w:rsidR="009E51F9">
        <w:rPr>
          <w:rFonts w:ascii="Times New Roman" w:hAnsi="Times New Roman"/>
          <w:b/>
          <w:bCs/>
          <w:szCs w:val="22"/>
        </w:rPr>
        <w:t xml:space="preserve"> University</w:t>
      </w:r>
      <w:r w:rsidRPr="00FE658D">
        <w:rPr>
          <w:rFonts w:ascii="Times New Roman" w:hAnsi="Times New Roman"/>
          <w:b/>
          <w:bCs/>
          <w:szCs w:val="22"/>
        </w:rPr>
        <w:t xml:space="preserve">, </w:t>
      </w:r>
      <w:r w:rsidR="009E51F9">
        <w:rPr>
          <w:rFonts w:ascii="Times New Roman" w:hAnsi="Times New Roman"/>
          <w:b/>
          <w:bCs/>
          <w:szCs w:val="22"/>
        </w:rPr>
        <w:t>Bandung</w:t>
      </w:r>
      <w:r w:rsidRPr="00FE658D">
        <w:rPr>
          <w:rFonts w:ascii="Times New Roman" w:hAnsi="Times New Roman"/>
          <w:b/>
          <w:bCs/>
          <w:szCs w:val="22"/>
        </w:rPr>
        <w:t xml:space="preserve">, </w:t>
      </w:r>
    </w:p>
    <w:p w14:paraId="1417C80E" w14:textId="77777777" w:rsidR="006071B6" w:rsidRDefault="009E51F9" w:rsidP="009E51F9">
      <w:pPr>
        <w:pStyle w:val="PlainText"/>
        <w:jc w:val="center"/>
        <w:rPr>
          <w:rFonts w:ascii="Times New Roman" w:hAnsi="Times New Roman"/>
          <w:b/>
          <w:bCs/>
          <w:szCs w:val="22"/>
        </w:rPr>
      </w:pPr>
      <w:r>
        <w:rPr>
          <w:rFonts w:ascii="Times New Roman" w:hAnsi="Times New Roman"/>
          <w:b/>
          <w:bCs/>
          <w:szCs w:val="22"/>
        </w:rPr>
        <w:t>West Java</w:t>
      </w:r>
      <w:r w:rsidR="006071B6" w:rsidRPr="00FE658D">
        <w:rPr>
          <w:rFonts w:ascii="Times New Roman" w:hAnsi="Times New Roman"/>
          <w:b/>
          <w:bCs/>
          <w:szCs w:val="22"/>
        </w:rPr>
        <w:t xml:space="preserve">, </w:t>
      </w:r>
      <w:r>
        <w:rPr>
          <w:rFonts w:ascii="Times New Roman" w:hAnsi="Times New Roman"/>
          <w:b/>
          <w:bCs/>
          <w:szCs w:val="22"/>
        </w:rPr>
        <w:t>Indonesia</w:t>
      </w:r>
    </w:p>
    <w:p w14:paraId="6F62906F" w14:textId="77777777" w:rsidR="006071B6" w:rsidRDefault="009E51F9" w:rsidP="006071B6">
      <w:pPr>
        <w:pStyle w:val="PlainText"/>
        <w:jc w:val="center"/>
        <w:rPr>
          <w:rFonts w:ascii="Times New Roman" w:hAnsi="Times New Roman"/>
          <w:b/>
          <w:bCs/>
          <w:i/>
          <w:iCs/>
          <w:szCs w:val="22"/>
          <w:lang w:eastAsia="zh-CN"/>
        </w:rPr>
      </w:pPr>
      <w:r>
        <w:rPr>
          <w:rFonts w:ascii="Times New Roman" w:hAnsi="Times New Roman"/>
          <w:b/>
          <w:bCs/>
          <w:i/>
          <w:iCs/>
          <w:szCs w:val="22"/>
          <w:lang w:eastAsia="zh-CN"/>
        </w:rPr>
        <w:t>ika.srihastuti@unpas.ac.id</w:t>
      </w:r>
    </w:p>
    <w:p w14:paraId="334BD9E0" w14:textId="77777777" w:rsidR="006071B6" w:rsidRPr="00FE658D" w:rsidRDefault="006071B6" w:rsidP="006071B6">
      <w:pPr>
        <w:pStyle w:val="PlainText"/>
        <w:jc w:val="center"/>
        <w:rPr>
          <w:rFonts w:ascii="Times New Roman" w:hAnsi="Times New Roman"/>
          <w:b/>
          <w:bCs/>
          <w:szCs w:val="22"/>
        </w:rPr>
      </w:pPr>
    </w:p>
    <w:p w14:paraId="7FF24169" w14:textId="77777777" w:rsidR="009E51F9" w:rsidRDefault="006071B6" w:rsidP="009E51F9">
      <w:pPr>
        <w:pStyle w:val="PlainText"/>
        <w:jc w:val="center"/>
        <w:rPr>
          <w:rFonts w:ascii="Times New Roman" w:hAnsi="Times New Roman"/>
          <w:b/>
          <w:bCs/>
          <w:szCs w:val="22"/>
        </w:rPr>
      </w:pPr>
      <w:r w:rsidRPr="00FE658D">
        <w:rPr>
          <w:rFonts w:ascii="Times New Roman" w:hAnsi="Times New Roman"/>
          <w:b/>
          <w:bCs/>
          <w:szCs w:val="22"/>
          <w:vertAlign w:val="superscript"/>
          <w:lang w:eastAsia="zh-CN"/>
        </w:rPr>
        <w:t>2</w:t>
      </w:r>
      <w:r w:rsidR="009E51F9">
        <w:rPr>
          <w:rFonts w:ascii="Times New Roman" w:hAnsi="Times New Roman"/>
          <w:b/>
          <w:bCs/>
          <w:szCs w:val="22"/>
        </w:rPr>
        <w:t>Public Administration</w:t>
      </w:r>
      <w:r w:rsidRPr="00FE658D">
        <w:rPr>
          <w:rFonts w:ascii="Times New Roman" w:hAnsi="Times New Roman"/>
          <w:b/>
          <w:bCs/>
          <w:szCs w:val="22"/>
        </w:rPr>
        <w:t xml:space="preserve">, </w:t>
      </w:r>
      <w:proofErr w:type="spellStart"/>
      <w:r w:rsidR="009E51F9">
        <w:rPr>
          <w:rFonts w:ascii="Times New Roman" w:hAnsi="Times New Roman"/>
          <w:b/>
          <w:bCs/>
          <w:szCs w:val="22"/>
        </w:rPr>
        <w:t>Pasundan</w:t>
      </w:r>
      <w:proofErr w:type="spellEnd"/>
      <w:r w:rsidR="009E51F9">
        <w:rPr>
          <w:rFonts w:ascii="Times New Roman" w:hAnsi="Times New Roman"/>
          <w:b/>
          <w:bCs/>
          <w:szCs w:val="22"/>
        </w:rPr>
        <w:t xml:space="preserve"> University, Bandung</w:t>
      </w:r>
      <w:r w:rsidRPr="00FE658D">
        <w:rPr>
          <w:rFonts w:ascii="Times New Roman" w:hAnsi="Times New Roman"/>
          <w:b/>
          <w:bCs/>
          <w:szCs w:val="22"/>
        </w:rPr>
        <w:t xml:space="preserve">, </w:t>
      </w:r>
    </w:p>
    <w:p w14:paraId="0BC44D96" w14:textId="77777777" w:rsidR="006071B6" w:rsidRDefault="009E51F9" w:rsidP="009E51F9">
      <w:pPr>
        <w:pStyle w:val="PlainText"/>
        <w:jc w:val="center"/>
        <w:rPr>
          <w:rFonts w:ascii="Times New Roman" w:hAnsi="Times New Roman"/>
          <w:b/>
          <w:bCs/>
          <w:szCs w:val="22"/>
        </w:rPr>
      </w:pPr>
      <w:r>
        <w:rPr>
          <w:rFonts w:ascii="Times New Roman" w:hAnsi="Times New Roman"/>
          <w:b/>
          <w:bCs/>
          <w:szCs w:val="22"/>
        </w:rPr>
        <w:t>West Java</w:t>
      </w:r>
      <w:r w:rsidR="006071B6" w:rsidRPr="00FE658D">
        <w:rPr>
          <w:rFonts w:ascii="Times New Roman" w:hAnsi="Times New Roman"/>
          <w:b/>
          <w:bCs/>
          <w:szCs w:val="22"/>
        </w:rPr>
        <w:t xml:space="preserve">, </w:t>
      </w:r>
      <w:r>
        <w:rPr>
          <w:rFonts w:ascii="Times New Roman" w:hAnsi="Times New Roman"/>
          <w:b/>
          <w:bCs/>
          <w:szCs w:val="22"/>
        </w:rPr>
        <w:t>Indonesia</w:t>
      </w:r>
    </w:p>
    <w:p w14:paraId="04E13176" w14:textId="77777777" w:rsidR="006071B6" w:rsidRDefault="009E51F9" w:rsidP="006071B6">
      <w:pPr>
        <w:pStyle w:val="PlainText"/>
        <w:jc w:val="center"/>
        <w:rPr>
          <w:rFonts w:ascii="Times New Roman" w:hAnsi="Times New Roman"/>
          <w:b/>
          <w:bCs/>
          <w:iCs/>
          <w:szCs w:val="22"/>
          <w:lang w:eastAsia="zh-CN"/>
        </w:rPr>
      </w:pPr>
      <w:r>
        <w:rPr>
          <w:rFonts w:ascii="Times New Roman" w:hAnsi="Times New Roman"/>
          <w:b/>
          <w:bCs/>
          <w:i/>
          <w:iCs/>
          <w:szCs w:val="22"/>
          <w:lang w:eastAsia="zh-CN"/>
        </w:rPr>
        <w:t>HAK.Jauhari@yahoo.co</w:t>
      </w:r>
      <w:r w:rsidR="00901D5E">
        <w:rPr>
          <w:rFonts w:ascii="Times New Roman" w:hAnsi="Times New Roman"/>
          <w:b/>
          <w:bCs/>
          <w:i/>
          <w:iCs/>
          <w:szCs w:val="22"/>
          <w:lang w:eastAsia="zh-CN"/>
        </w:rPr>
        <w:t>.</w:t>
      </w:r>
      <w:r>
        <w:rPr>
          <w:rFonts w:ascii="Times New Roman" w:hAnsi="Times New Roman"/>
          <w:b/>
          <w:bCs/>
          <w:i/>
          <w:iCs/>
          <w:szCs w:val="22"/>
          <w:lang w:eastAsia="zh-CN"/>
        </w:rPr>
        <w:t>id</w:t>
      </w:r>
    </w:p>
    <w:p w14:paraId="4E3337A9" w14:textId="77777777" w:rsidR="006071B6" w:rsidRPr="006071B6" w:rsidRDefault="006071B6" w:rsidP="006071B6">
      <w:pPr>
        <w:pStyle w:val="PlainText"/>
        <w:jc w:val="center"/>
        <w:rPr>
          <w:rFonts w:ascii="Times New Roman" w:hAnsi="Times New Roman"/>
          <w:b/>
          <w:bCs/>
          <w:szCs w:val="22"/>
          <w:lang w:val="id-ID" w:eastAsia="zh-CN"/>
        </w:rPr>
      </w:pPr>
    </w:p>
    <w:p w14:paraId="1DEB264A" w14:textId="77777777" w:rsidR="006071B6" w:rsidRDefault="006071B6" w:rsidP="000224BB">
      <w:pPr>
        <w:pStyle w:val="SammaryHeader"/>
        <w:ind w:left="234" w:hangingChars="97" w:hanging="234"/>
        <w:rPr>
          <w:sz w:val="24"/>
        </w:rPr>
      </w:pPr>
    </w:p>
    <w:p w14:paraId="61289AD4" w14:textId="77777777" w:rsidR="00FE658D" w:rsidRDefault="002E0034" w:rsidP="00FE658D">
      <w:pPr>
        <w:pStyle w:val="SammaryHeader"/>
        <w:ind w:left="282" w:hanging="282"/>
        <w:jc w:val="center"/>
        <w:rPr>
          <w:sz w:val="24"/>
        </w:rPr>
      </w:pPr>
      <w:r w:rsidRPr="00FE658D">
        <w:rPr>
          <w:sz w:val="24"/>
        </w:rPr>
        <w:t>Abstract</w:t>
      </w:r>
    </w:p>
    <w:p w14:paraId="6DC8AED3" w14:textId="77777777" w:rsidR="009E51F9" w:rsidRPr="00E67064" w:rsidRDefault="009E51F9" w:rsidP="009E51F9">
      <w:pPr>
        <w:spacing w:after="0" w:line="240" w:lineRule="auto"/>
        <w:jc w:val="both"/>
        <w:rPr>
          <w:rFonts w:ascii="Times New Roman" w:eastAsia="Times New Roman" w:hAnsi="Times New Roman"/>
          <w:b/>
          <w:bCs/>
          <w:sz w:val="20"/>
          <w:szCs w:val="20"/>
        </w:rPr>
      </w:pPr>
      <w:r w:rsidRPr="009E51F9">
        <w:rPr>
          <w:rFonts w:ascii="Times New Roman" w:eastAsia="Times New Roman" w:hAnsi="Times New Roman"/>
          <w:b/>
          <w:bCs/>
          <w:sz w:val="20"/>
          <w:szCs w:val="20"/>
          <w:lang w:val="en"/>
        </w:rPr>
        <w:t>The rapid development of information and communication technology has resulted in the emergence of a new economy marked by the phenomenon of internet-based business or e-commerce. The economic growth of the middle class of Southeast Asian people in the digital economy era is moving towards a non-cash transaction system and changing the lifestyle of people who depend on the internet for traveling, shopping and doing business online as well as creating new phenomena for the growth of the e-commerce industry or electronic commerce is</w:t>
      </w:r>
      <w:r>
        <w:rPr>
          <w:rFonts w:ascii="Times New Roman" w:eastAsia="Times New Roman" w:hAnsi="Times New Roman"/>
          <w:b/>
          <w:bCs/>
          <w:sz w:val="20"/>
          <w:szCs w:val="20"/>
          <w:lang w:val="en"/>
        </w:rPr>
        <w:t xml:space="preserve"> attractive and growing rapidly</w:t>
      </w:r>
      <w:r w:rsidRPr="009E51F9">
        <w:rPr>
          <w:rFonts w:ascii="Times New Roman" w:eastAsia="Times New Roman" w:hAnsi="Times New Roman"/>
          <w:b/>
          <w:bCs/>
          <w:sz w:val="20"/>
          <w:szCs w:val="20"/>
          <w:lang w:val="en"/>
        </w:rPr>
        <w:t xml:space="preserve">. What is interesting is how the influence of middle class economic growth on the development of e-commerce in Southeast Asia. The method used in conducting this research is descriptive qualitative which aims to describe the phenomenon of the growth of the middle class in the development of e-commerce in Southeast Asia systematically for research and problem solving. The estimation results of this study are that with the increasing number of middle class people who use technology for business activities in the network, the development of e-commerce in ASEAN is marked by the use of electronic payment methods or cashless payments where business transaction processes become more efficient </w:t>
      </w:r>
      <w:r w:rsidR="000264CE">
        <w:rPr>
          <w:rFonts w:ascii="Times New Roman" w:eastAsia="Times New Roman" w:hAnsi="Times New Roman"/>
          <w:b/>
          <w:bCs/>
          <w:sz w:val="20"/>
          <w:szCs w:val="20"/>
          <w:lang w:val="en"/>
        </w:rPr>
        <w:t>and stimulate economic growth. T</w:t>
      </w:r>
      <w:r w:rsidRPr="009E51F9">
        <w:rPr>
          <w:rFonts w:ascii="Times New Roman" w:eastAsia="Times New Roman" w:hAnsi="Times New Roman"/>
          <w:b/>
          <w:bCs/>
          <w:sz w:val="20"/>
          <w:szCs w:val="20"/>
          <w:lang w:val="en"/>
        </w:rPr>
        <w:t>he emergence of new startups. The challenge for the use of e-commerce is readiness in overcoming problems related to ICT such as cyber security, internet networks and adequate ICT infrastructure. Every country in Southeast Asia has advantages and limitations in the use of e-commerce but digital globalization forces countries in Southeast Asia that are experiencing an economic growth to be prepared to build e-commerce infrastructure, especially for MSMEs by utilizing e-commerce to open new markets that are more and the government must prepare infrastructure and regulations that support entrepreneurs to compete in the current e-commerce era.</w:t>
      </w:r>
    </w:p>
    <w:p w14:paraId="46E7BF80" w14:textId="77777777" w:rsidR="000224BB" w:rsidRDefault="000224BB" w:rsidP="008A0EE5">
      <w:pPr>
        <w:spacing w:line="240" w:lineRule="auto"/>
        <w:ind w:left="993" w:right="67" w:hanging="993"/>
        <w:jc w:val="both"/>
        <w:rPr>
          <w:rFonts w:ascii="Times New Roman" w:hAnsi="Times New Roman"/>
          <w:b/>
          <w:i/>
          <w:sz w:val="20"/>
          <w:szCs w:val="20"/>
        </w:rPr>
      </w:pPr>
      <w:r w:rsidRPr="00FE658D">
        <w:rPr>
          <w:rFonts w:ascii="Times New Roman" w:hAnsi="Times New Roman"/>
          <w:b/>
          <w:i/>
          <w:sz w:val="20"/>
          <w:szCs w:val="20"/>
        </w:rPr>
        <w:t>Keywords:</w:t>
      </w:r>
      <w:r>
        <w:rPr>
          <w:rFonts w:ascii="Times New Roman" w:hAnsi="Times New Roman"/>
          <w:b/>
          <w:i/>
          <w:sz w:val="20"/>
          <w:szCs w:val="20"/>
        </w:rPr>
        <w:t xml:space="preserve">  </w:t>
      </w:r>
      <w:r w:rsidR="009E51F9">
        <w:rPr>
          <w:rStyle w:val="KeywordsChar"/>
          <w:b/>
          <w:iCs w:val="0"/>
        </w:rPr>
        <w:t xml:space="preserve">E-Commerce, Middle Economy, ICT </w:t>
      </w:r>
    </w:p>
    <w:p w14:paraId="43AA6C3D" w14:textId="77777777" w:rsidR="006071B6" w:rsidRDefault="006071B6" w:rsidP="00313A18">
      <w:pPr>
        <w:spacing w:before="240" w:line="240" w:lineRule="auto"/>
        <w:ind w:right="67"/>
        <w:rPr>
          <w:rFonts w:ascii="Times New Roman" w:eastAsia="SimSun" w:hAnsi="Times New Roman"/>
          <w:b/>
          <w:sz w:val="24"/>
          <w:szCs w:val="24"/>
          <w:lang w:eastAsia="zh-CN"/>
        </w:rPr>
        <w:sectPr w:rsidR="006071B6" w:rsidSect="00915B46">
          <w:headerReference w:type="even" r:id="rId7"/>
          <w:headerReference w:type="default" r:id="rId8"/>
          <w:footerReference w:type="even" r:id="rId9"/>
          <w:footerReference w:type="default" r:id="rId10"/>
          <w:pgSz w:w="11907" w:h="16839" w:code="9"/>
          <w:pgMar w:top="2268" w:right="1701" w:bottom="1701" w:left="2268" w:header="708" w:footer="708" w:gutter="0"/>
          <w:cols w:space="708"/>
          <w:docGrid w:linePitch="360"/>
        </w:sectPr>
      </w:pPr>
    </w:p>
    <w:p w14:paraId="7C0738B9" w14:textId="77777777" w:rsidR="002E0034" w:rsidRPr="006071B6" w:rsidRDefault="002E0034" w:rsidP="006071B6">
      <w:pPr>
        <w:spacing w:before="240" w:line="240" w:lineRule="auto"/>
        <w:ind w:left="993" w:right="67" w:hanging="993"/>
        <w:rPr>
          <w:rFonts w:ascii="Times New Roman" w:hAnsi="Times New Roman"/>
          <w:b/>
          <w:sz w:val="24"/>
          <w:szCs w:val="24"/>
        </w:rPr>
      </w:pPr>
      <w:r w:rsidRPr="006071B6">
        <w:rPr>
          <w:rFonts w:ascii="Times New Roman" w:eastAsia="SimSun" w:hAnsi="Times New Roman"/>
          <w:b/>
          <w:sz w:val="24"/>
          <w:szCs w:val="24"/>
          <w:lang w:eastAsia="zh-CN"/>
        </w:rPr>
        <w:t xml:space="preserve">1. </w:t>
      </w:r>
      <w:r w:rsidRPr="006071B6">
        <w:rPr>
          <w:rFonts w:ascii="Times New Roman" w:hAnsi="Times New Roman"/>
          <w:b/>
          <w:sz w:val="24"/>
          <w:szCs w:val="24"/>
        </w:rPr>
        <w:t>Introduction</w:t>
      </w:r>
    </w:p>
    <w:p w14:paraId="3C1805DF" w14:textId="77777777" w:rsidR="009E51F9" w:rsidRDefault="006B77C5" w:rsidP="00721718">
      <w:pPr>
        <w:spacing w:line="240" w:lineRule="auto"/>
        <w:jc w:val="both"/>
        <w:rPr>
          <w:rStyle w:val="jlqj4b"/>
          <w:rFonts w:asciiTheme="majorBidi" w:hAnsiTheme="majorBidi" w:cstheme="majorBidi"/>
          <w:sz w:val="20"/>
          <w:szCs w:val="20"/>
          <w:lang w:val="en"/>
        </w:rPr>
      </w:pPr>
      <w:r>
        <w:rPr>
          <w:rFonts w:ascii="Times New Roman" w:eastAsia="SimSun" w:hAnsi="Times New Roman"/>
          <w:b/>
          <w:sz w:val="24"/>
          <w:lang w:eastAsia="zh-CN"/>
        </w:rPr>
        <w:t xml:space="preserve">    </w:t>
      </w:r>
      <w:r w:rsidR="009E51F9" w:rsidRPr="009E51F9">
        <w:rPr>
          <w:rStyle w:val="jlqj4b"/>
          <w:rFonts w:asciiTheme="majorBidi" w:hAnsiTheme="majorBidi" w:cstheme="majorBidi"/>
          <w:sz w:val="20"/>
          <w:szCs w:val="20"/>
          <w:lang w:val="en"/>
        </w:rPr>
        <w:t xml:space="preserve">In 2012 there were approximately 190 million people in Southeast Asia who could be defined as middle class people with disposable income of $ 16- $ 100 per day. More money means more homes, cars, technology, education and a greater need for financial services. It also means that this new consumer class is migrating to more developed and opportunity-rich urban areas. There is also the economic growth of the </w:t>
      </w:r>
      <w:r w:rsidR="009E51F9" w:rsidRPr="009E51F9">
        <w:rPr>
          <w:rStyle w:val="jlqj4b"/>
          <w:rFonts w:asciiTheme="majorBidi" w:hAnsiTheme="majorBidi" w:cstheme="majorBidi"/>
          <w:sz w:val="20"/>
          <w:szCs w:val="20"/>
          <w:lang w:val="en"/>
        </w:rPr>
        <w:t>middle class of society in the era of the Digital Economy by moving on to using the cashless transaction system and changing the lifestyle of people who depend on the internet for traveling, shopping, and online business (both sellers and buyers meet through internet media). The New Economic Era is present on the emergence of the development of ICT (in</w:t>
      </w:r>
      <w:r w:rsidR="00854874">
        <w:rPr>
          <w:rStyle w:val="jlqj4b"/>
          <w:rFonts w:asciiTheme="majorBidi" w:hAnsiTheme="majorBidi" w:cstheme="majorBidi"/>
          <w:sz w:val="20"/>
          <w:szCs w:val="20"/>
          <w:lang w:val="en"/>
        </w:rPr>
        <w:t>formation</w:t>
      </w:r>
      <w:r w:rsidR="009E51F9" w:rsidRPr="009E51F9">
        <w:rPr>
          <w:rStyle w:val="jlqj4b"/>
          <w:rFonts w:asciiTheme="majorBidi" w:hAnsiTheme="majorBidi" w:cstheme="majorBidi"/>
          <w:sz w:val="20"/>
          <w:szCs w:val="20"/>
          <w:lang w:val="en"/>
        </w:rPr>
        <w:t xml:space="preserve">, communications, and technology) and globalization which causes the level of productivity and economic growth of both </w:t>
      </w:r>
      <w:r w:rsidR="009E51F9" w:rsidRPr="009E51F9">
        <w:rPr>
          <w:rStyle w:val="jlqj4b"/>
          <w:rFonts w:asciiTheme="majorBidi" w:hAnsiTheme="majorBidi" w:cstheme="majorBidi"/>
          <w:sz w:val="20"/>
          <w:szCs w:val="20"/>
          <w:lang w:val="en"/>
        </w:rPr>
        <w:lastRenderedPageBreak/>
        <w:t>companies and countries to increase. The growing economy is increasingly globalized and digitalized, which encourages businesses to change their competitive strategies, marketing techniques, and business models. In the digital economy era, e-commerce must be utilized and empowered as an instrument of economic growth. Differences in the attitudes of ASEAN countries in addressing regional e-commerce barriers, it is necessary to form several regulations regarding the implementation of cross-border e-commerce transactions. Through e-commerce, small companies can provide flexibility in production, enable faster and more efficient shipping processes, and support fast paperless transactions</w:t>
      </w:r>
      <w:r w:rsidR="001306B0">
        <w:rPr>
          <w:rStyle w:val="jlqj4b"/>
          <w:rFonts w:asciiTheme="majorBidi" w:hAnsiTheme="majorBidi" w:cstheme="majorBidi"/>
          <w:sz w:val="20"/>
          <w:szCs w:val="20"/>
          <w:lang w:val="en"/>
        </w:rPr>
        <w:fldChar w:fldCharType="begin" w:fldLock="1"/>
      </w:r>
      <w:r w:rsidR="00B65532">
        <w:rPr>
          <w:rStyle w:val="jlqj4b"/>
          <w:rFonts w:asciiTheme="majorBidi" w:hAnsiTheme="majorBidi" w:cstheme="majorBidi"/>
          <w:sz w:val="20"/>
          <w:szCs w:val="20"/>
          <w:lang w:val="en"/>
        </w:rPr>
        <w:instrText>ADDIN CSL_CITATION {"citationItems":[{"id":"ITEM-1","itemData":{"ISBN":"0213509059","author":[{"dropping-particle":"","family":"Ashariyadi","given":"","non-dropping-particle":"","parse-names":false,"suffix":""}],"container-title":"Masyarakat Asean","id":"ITEM-1","issued":{"date-parts":[["2016"]]},"number-of-pages":"4-5","title":"Geliat UMKM di Era MEA","type":"book"},"uris":["http://www.mendeley.com/documents/?uuid=9886c342-e321-4fc8-983b-6d7b0b59f693"]}],"mendeley":{"formattedCitation":"(Ashariyadi, 2016)","plainTextFormattedCitation":"(Ashariyadi, 2016)","previouslyFormattedCitation":"(Ashariyadi, 2016)"},"properties":{"noteIndex":0},"schema":"https://github.com/citation-style-language/schema/raw/master/csl-citation.json"}</w:instrText>
      </w:r>
      <w:r w:rsidR="001306B0">
        <w:rPr>
          <w:rStyle w:val="jlqj4b"/>
          <w:rFonts w:asciiTheme="majorBidi" w:hAnsiTheme="majorBidi" w:cstheme="majorBidi"/>
          <w:sz w:val="20"/>
          <w:szCs w:val="20"/>
          <w:lang w:val="en"/>
        </w:rPr>
        <w:fldChar w:fldCharType="separate"/>
      </w:r>
      <w:r w:rsidR="00B65532" w:rsidRPr="00B65532">
        <w:rPr>
          <w:rStyle w:val="jlqj4b"/>
          <w:rFonts w:asciiTheme="majorBidi" w:hAnsiTheme="majorBidi" w:cstheme="majorBidi"/>
          <w:noProof/>
          <w:sz w:val="20"/>
          <w:szCs w:val="20"/>
          <w:lang w:val="en"/>
        </w:rPr>
        <w:t>(Ashariyadi, 2016)</w:t>
      </w:r>
      <w:r w:rsidR="001306B0">
        <w:rPr>
          <w:rStyle w:val="jlqj4b"/>
          <w:rFonts w:asciiTheme="majorBidi" w:hAnsiTheme="majorBidi" w:cstheme="majorBidi"/>
          <w:sz w:val="20"/>
          <w:szCs w:val="20"/>
          <w:lang w:val="en"/>
        </w:rPr>
        <w:fldChar w:fldCharType="end"/>
      </w:r>
      <w:r w:rsidR="009E51F9" w:rsidRPr="009E51F9">
        <w:rPr>
          <w:rStyle w:val="jlqj4b"/>
          <w:rFonts w:asciiTheme="majorBidi" w:hAnsiTheme="majorBidi" w:cstheme="majorBidi"/>
          <w:sz w:val="20"/>
          <w:szCs w:val="20"/>
          <w:lang w:val="en"/>
        </w:rPr>
        <w:t>.</w:t>
      </w:r>
    </w:p>
    <w:p w14:paraId="00A60ED0" w14:textId="77777777" w:rsidR="00854874" w:rsidRDefault="00854874" w:rsidP="00721718">
      <w:pPr>
        <w:spacing w:line="240" w:lineRule="auto"/>
        <w:jc w:val="both"/>
        <w:rPr>
          <w:rStyle w:val="jlqj4b"/>
          <w:rFonts w:asciiTheme="majorBidi" w:hAnsiTheme="majorBidi" w:cstheme="majorBidi"/>
          <w:sz w:val="20"/>
          <w:szCs w:val="20"/>
          <w:lang w:val="en"/>
        </w:rPr>
      </w:pPr>
      <w:r w:rsidRPr="00854874">
        <w:rPr>
          <w:rStyle w:val="jlqj4b"/>
          <w:rFonts w:asciiTheme="majorBidi" w:hAnsiTheme="majorBidi" w:cstheme="majorBidi"/>
          <w:sz w:val="20"/>
          <w:szCs w:val="20"/>
          <w:lang w:val="en"/>
        </w:rPr>
        <w:t>E-commerce trends in the markets of Southeast Asian countries show that e-commerce is at a different stage in each country, with a different set of opportunities and challenges.</w:t>
      </w:r>
      <w:r w:rsidRPr="00854874">
        <w:rPr>
          <w:rStyle w:val="viiyi"/>
          <w:rFonts w:asciiTheme="majorBidi" w:hAnsiTheme="majorBidi" w:cstheme="majorBidi"/>
          <w:sz w:val="20"/>
          <w:szCs w:val="20"/>
          <w:lang w:val="en"/>
        </w:rPr>
        <w:t xml:space="preserve"> </w:t>
      </w:r>
      <w:r w:rsidRPr="00854874">
        <w:rPr>
          <w:rStyle w:val="jlqj4b"/>
          <w:rFonts w:asciiTheme="majorBidi" w:hAnsiTheme="majorBidi" w:cstheme="majorBidi"/>
          <w:sz w:val="20"/>
          <w:szCs w:val="20"/>
          <w:lang w:val="en"/>
        </w:rPr>
        <w:t>Logistics remains a major hurdle to face in Indonesia and the Philippines, while Singapore, which has no such infrastructure constraints, still has a relatively low online retail adoption rate due to the ease of accessing traditional retailers.</w:t>
      </w:r>
      <w:r w:rsidR="001306B0">
        <w:rPr>
          <w:rStyle w:val="jlqj4b"/>
          <w:rFonts w:asciiTheme="majorBidi" w:hAnsiTheme="majorBidi" w:cstheme="majorBidi"/>
          <w:sz w:val="20"/>
          <w:szCs w:val="20"/>
          <w:lang w:val="en"/>
        </w:rPr>
        <w:fldChar w:fldCharType="begin" w:fldLock="1"/>
      </w:r>
      <w:r w:rsidR="00B65532">
        <w:rPr>
          <w:rStyle w:val="jlqj4b"/>
          <w:rFonts w:asciiTheme="majorBidi" w:hAnsiTheme="majorBidi" w:cstheme="majorBidi"/>
          <w:sz w:val="20"/>
          <w:szCs w:val="20"/>
          <w:lang w:val="en"/>
        </w:rPr>
        <w:instrText>ADDIN CSL_CITATION {"citationItems":[{"id":"ITEM-1","itemData":{"author":[{"dropping-particle":"","family":"Wu","given":"Carol","non-dropping-particle":"","parse-names":false,"suffix":""},{"dropping-particle":"","family":"Hui","given":"Mavis","non-dropping-particle":"","parse-names":false,"suffix":""}],"id":"ITEM-1","issue":"October","issued":{"date-parts":[["2015"]]},"title":"E-Commerce In Asia","type":"article-journal"},"uris":["http://www.mendeley.com/documents/?uuid=c8243920-9079-48d9-a1d3-4db073a75d80"]}],"mendeley":{"formattedCitation":"(Wu &amp; Hui, 2015)","plainTextFormattedCitation":"(Wu &amp; Hui, 2015)","previouslyFormattedCitation":"(Wu &amp; Hui, 2015)"},"properties":{"noteIndex":0},"schema":"https://github.com/citation-style-language/schema/raw/master/csl-citation.json"}</w:instrText>
      </w:r>
      <w:r w:rsidR="001306B0">
        <w:rPr>
          <w:rStyle w:val="jlqj4b"/>
          <w:rFonts w:asciiTheme="majorBidi" w:hAnsiTheme="majorBidi" w:cstheme="majorBidi"/>
          <w:sz w:val="20"/>
          <w:szCs w:val="20"/>
          <w:lang w:val="en"/>
        </w:rPr>
        <w:fldChar w:fldCharType="separate"/>
      </w:r>
      <w:r w:rsidR="00B65532" w:rsidRPr="00B65532">
        <w:rPr>
          <w:rStyle w:val="jlqj4b"/>
          <w:rFonts w:asciiTheme="majorBidi" w:hAnsiTheme="majorBidi" w:cstheme="majorBidi"/>
          <w:noProof/>
          <w:sz w:val="20"/>
          <w:szCs w:val="20"/>
          <w:lang w:val="en"/>
        </w:rPr>
        <w:t>(Wu &amp; Hui, 2015)</w:t>
      </w:r>
      <w:r w:rsidR="001306B0">
        <w:rPr>
          <w:rStyle w:val="jlqj4b"/>
          <w:rFonts w:asciiTheme="majorBidi" w:hAnsiTheme="majorBidi" w:cstheme="majorBidi"/>
          <w:sz w:val="20"/>
          <w:szCs w:val="20"/>
          <w:lang w:val="en"/>
        </w:rPr>
        <w:fldChar w:fldCharType="end"/>
      </w:r>
      <w:r w:rsidRPr="00854874">
        <w:rPr>
          <w:rStyle w:val="viiyi"/>
          <w:rFonts w:asciiTheme="majorBidi" w:hAnsiTheme="majorBidi" w:cstheme="majorBidi"/>
          <w:sz w:val="20"/>
          <w:szCs w:val="20"/>
          <w:lang w:val="en"/>
        </w:rPr>
        <w:t xml:space="preserve"> </w:t>
      </w:r>
      <w:r w:rsidRPr="00854874">
        <w:rPr>
          <w:rStyle w:val="jlqj4b"/>
          <w:rFonts w:asciiTheme="majorBidi" w:hAnsiTheme="majorBidi" w:cstheme="majorBidi"/>
          <w:sz w:val="20"/>
          <w:szCs w:val="20"/>
          <w:lang w:val="en"/>
        </w:rPr>
        <w:t>Then in Malaysia it is a matter of cyber security and consumer preference for physically checking goods, and internet retailers in Thailand remain fragmented with many small online retailers.</w:t>
      </w:r>
      <w:r w:rsidRPr="00854874">
        <w:rPr>
          <w:rStyle w:val="viiyi"/>
          <w:rFonts w:asciiTheme="majorBidi" w:hAnsiTheme="majorBidi" w:cstheme="majorBidi"/>
          <w:sz w:val="20"/>
          <w:szCs w:val="20"/>
          <w:lang w:val="en"/>
        </w:rPr>
        <w:t xml:space="preserve"> </w:t>
      </w:r>
      <w:r w:rsidRPr="00854874">
        <w:rPr>
          <w:rStyle w:val="jlqj4b"/>
          <w:rFonts w:asciiTheme="majorBidi" w:hAnsiTheme="majorBidi" w:cstheme="majorBidi"/>
          <w:sz w:val="20"/>
          <w:szCs w:val="20"/>
          <w:lang w:val="en"/>
        </w:rPr>
        <w:t>The potential threat from online sales is still low in Malaysia, Indonesia and Thailand, but there is a lot of potential for retailers to use online as an additional channel to increase sales.</w:t>
      </w:r>
    </w:p>
    <w:p w14:paraId="7D92EA05" w14:textId="77777777" w:rsidR="001306B0" w:rsidRDefault="001306B0" w:rsidP="00721718">
      <w:pPr>
        <w:spacing w:line="240" w:lineRule="auto"/>
        <w:jc w:val="both"/>
        <w:rPr>
          <w:rStyle w:val="jlqj4b"/>
          <w:rFonts w:asciiTheme="majorBidi" w:hAnsiTheme="majorBidi" w:cstheme="majorBidi"/>
          <w:sz w:val="20"/>
          <w:szCs w:val="20"/>
          <w:lang w:val="en"/>
        </w:rPr>
      </w:pPr>
      <w:r w:rsidRPr="001306B0">
        <w:rPr>
          <w:rStyle w:val="jlqj4b"/>
          <w:rFonts w:asciiTheme="majorBidi" w:hAnsiTheme="majorBidi" w:cstheme="majorBidi"/>
          <w:sz w:val="20"/>
          <w:szCs w:val="20"/>
          <w:lang w:val="en"/>
        </w:rPr>
        <w:t>The development of e-commerce is represented by the development of the value of e-commerce transactions, the development of the number of business sites, and the number of internet users that have a positive effect on Indonesia's economic growth using the Auto-Regressive Distributed Lag (ARDL) approach.</w:t>
      </w:r>
      <w:r>
        <w:rPr>
          <w:rStyle w:val="jlqj4b"/>
          <w:rFonts w:asciiTheme="majorBidi" w:hAnsiTheme="majorBidi" w:cstheme="majorBidi"/>
          <w:sz w:val="20"/>
          <w:szCs w:val="20"/>
          <w:lang w:val="en"/>
        </w:rPr>
        <w:t xml:space="preserve"> </w:t>
      </w:r>
      <w:r>
        <w:rPr>
          <w:rStyle w:val="jlqj4b"/>
          <w:rFonts w:asciiTheme="majorBidi" w:hAnsiTheme="majorBidi" w:cstheme="majorBidi"/>
          <w:sz w:val="20"/>
          <w:szCs w:val="20"/>
          <w:lang w:val="en"/>
        </w:rPr>
        <w:fldChar w:fldCharType="begin" w:fldLock="1"/>
      </w:r>
      <w:r w:rsidR="00B65532">
        <w:rPr>
          <w:rStyle w:val="jlqj4b"/>
          <w:rFonts w:asciiTheme="majorBidi" w:hAnsiTheme="majorBidi" w:cstheme="majorBidi"/>
          <w:sz w:val="20"/>
          <w:szCs w:val="20"/>
          <w:lang w:val="en"/>
        </w:rPr>
        <w:instrText>ADDIN CSL_CITATION {"citationItems":[{"id":"ITEM-1","itemData":{"author":[{"dropping-particle":"","family":"Dianari","given":"RR. Getha Fety","non-dropping-particle":"","parse-names":false,"suffix":""}],"container-title":"Universitas Katolik Parahyangan Fakultas Ekonomi Program Studi Sarjana Ekonomi Pembangunan","id":"ITEM-1","issue":"211","issued":{"date-parts":[["2017"]]},"title":"the Impact of E-Commerce on Indonesia ’ S Economic Growth","type":"article-journal"},"uris":["http://www.mendeley.com/documents/?uuid=1367bfc3-95c8-4dde-8c88-e9a58da135b4"]}],"mendeley":{"formattedCitation":"(Dianari, 2017)","plainTextFormattedCitation":"(Dianari, 2017)","previouslyFormattedCitation":"(Dianari, 2017)"},"properties":{"noteIndex":0},"schema":"https://github.com/citation-style-language/schema/raw/master/csl-citation.json"}</w:instrText>
      </w:r>
      <w:r>
        <w:rPr>
          <w:rStyle w:val="jlqj4b"/>
          <w:rFonts w:asciiTheme="majorBidi" w:hAnsiTheme="majorBidi" w:cstheme="majorBidi"/>
          <w:sz w:val="20"/>
          <w:szCs w:val="20"/>
          <w:lang w:val="en"/>
        </w:rPr>
        <w:fldChar w:fldCharType="separate"/>
      </w:r>
      <w:r w:rsidR="00B65532" w:rsidRPr="00B65532">
        <w:rPr>
          <w:rStyle w:val="jlqj4b"/>
          <w:rFonts w:asciiTheme="majorBidi" w:hAnsiTheme="majorBidi" w:cstheme="majorBidi"/>
          <w:noProof/>
          <w:sz w:val="20"/>
          <w:szCs w:val="20"/>
          <w:lang w:val="en"/>
        </w:rPr>
        <w:t>(Dianari, 2017)</w:t>
      </w:r>
      <w:r>
        <w:rPr>
          <w:rStyle w:val="jlqj4b"/>
          <w:rFonts w:asciiTheme="majorBidi" w:hAnsiTheme="majorBidi" w:cstheme="majorBidi"/>
          <w:sz w:val="20"/>
          <w:szCs w:val="20"/>
          <w:lang w:val="en"/>
        </w:rPr>
        <w:fldChar w:fldCharType="end"/>
      </w:r>
      <w:r w:rsidR="00901D5E">
        <w:rPr>
          <w:rStyle w:val="jlqj4b"/>
          <w:rFonts w:asciiTheme="majorBidi" w:hAnsiTheme="majorBidi" w:cstheme="majorBidi"/>
          <w:sz w:val="20"/>
          <w:szCs w:val="20"/>
          <w:lang w:val="en"/>
        </w:rPr>
        <w:t xml:space="preserve"> </w:t>
      </w:r>
      <w:r>
        <w:rPr>
          <w:rStyle w:val="jlqj4b"/>
          <w:rFonts w:asciiTheme="majorBidi" w:hAnsiTheme="majorBidi" w:cstheme="majorBidi"/>
          <w:sz w:val="20"/>
          <w:szCs w:val="20"/>
          <w:lang w:val="en"/>
        </w:rPr>
        <w:t xml:space="preserve"> </w:t>
      </w:r>
    </w:p>
    <w:p w14:paraId="0828C552" w14:textId="77777777" w:rsidR="00B65532" w:rsidRDefault="00B65532" w:rsidP="00721718">
      <w:pPr>
        <w:spacing w:line="240" w:lineRule="auto"/>
        <w:jc w:val="both"/>
        <w:rPr>
          <w:rStyle w:val="jlqj4b"/>
          <w:rFonts w:asciiTheme="majorBidi" w:hAnsiTheme="majorBidi" w:cstheme="majorBidi"/>
          <w:sz w:val="20"/>
          <w:szCs w:val="20"/>
          <w:lang w:val="en"/>
        </w:rPr>
      </w:pPr>
      <w:r w:rsidRPr="00B65532">
        <w:rPr>
          <w:rStyle w:val="jlqj4b"/>
          <w:rFonts w:asciiTheme="majorBidi" w:hAnsiTheme="majorBidi" w:cstheme="majorBidi"/>
          <w:sz w:val="20"/>
          <w:szCs w:val="20"/>
          <w:lang w:val="en"/>
        </w:rPr>
        <w:t>A large middle class economy is believed to be able to promote development, because first, the middle class provides entrepreneurship that creates employment and productivity growth in society.</w:t>
      </w:r>
      <w:r w:rsidRPr="00B65532">
        <w:rPr>
          <w:rStyle w:val="viiyi"/>
          <w:rFonts w:asciiTheme="majorBidi" w:hAnsiTheme="majorBidi" w:cstheme="majorBidi"/>
          <w:sz w:val="20"/>
          <w:szCs w:val="20"/>
          <w:lang w:val="en"/>
        </w:rPr>
        <w:t xml:space="preserve"> </w:t>
      </w:r>
      <w:r w:rsidRPr="00B65532">
        <w:rPr>
          <w:rStyle w:val="jlqj4b"/>
          <w:rFonts w:asciiTheme="majorBidi" w:hAnsiTheme="majorBidi" w:cstheme="majorBidi"/>
          <w:sz w:val="20"/>
          <w:szCs w:val="20"/>
          <w:lang w:val="en"/>
        </w:rPr>
        <w:t xml:space="preserve">Second, middle class values, namely the accumulated </w:t>
      </w:r>
      <w:r w:rsidRPr="00B65532">
        <w:rPr>
          <w:rStyle w:val="jlqj4b"/>
          <w:rFonts w:asciiTheme="majorBidi" w:hAnsiTheme="majorBidi" w:cstheme="majorBidi"/>
          <w:sz w:val="20"/>
          <w:szCs w:val="20"/>
          <w:lang w:val="en"/>
        </w:rPr>
        <w:t>value of human capital and savings are very important for economic growth.</w:t>
      </w:r>
      <w:r w:rsidRPr="00B65532">
        <w:rPr>
          <w:rStyle w:val="viiyi"/>
          <w:rFonts w:asciiTheme="majorBidi" w:hAnsiTheme="majorBidi" w:cstheme="majorBidi"/>
          <w:sz w:val="20"/>
          <w:szCs w:val="20"/>
          <w:lang w:val="en"/>
        </w:rPr>
        <w:t xml:space="preserve"> </w:t>
      </w:r>
      <w:r w:rsidRPr="00B65532">
        <w:rPr>
          <w:rStyle w:val="jlqj4b"/>
          <w:rFonts w:asciiTheme="majorBidi" w:hAnsiTheme="majorBidi" w:cstheme="majorBidi"/>
          <w:sz w:val="20"/>
          <w:szCs w:val="20"/>
          <w:lang w:val="en"/>
        </w:rPr>
        <w:t>Third, the middle class drives demand for high quality consumer goods with an increasing scale of production.</w:t>
      </w:r>
      <w:r>
        <w:rPr>
          <w:rStyle w:val="jlqj4b"/>
          <w:rFonts w:asciiTheme="majorBidi" w:hAnsiTheme="majorBidi" w:cstheme="majorBidi"/>
          <w:sz w:val="20"/>
          <w:szCs w:val="20"/>
          <w:lang w:val="en"/>
        </w:rPr>
        <w:fldChar w:fldCharType="begin" w:fldLock="1"/>
      </w:r>
      <w:r w:rsidR="00901D5E">
        <w:rPr>
          <w:rStyle w:val="jlqj4b"/>
          <w:rFonts w:asciiTheme="majorBidi" w:hAnsiTheme="majorBidi" w:cstheme="majorBidi"/>
          <w:sz w:val="20"/>
          <w:szCs w:val="20"/>
          <w:lang w:val="en"/>
        </w:rPr>
        <w:instrText>ADDIN CSL_CITATION {"citationItems":[{"id":"ITEM-1","itemData":{"abstract":"Eksistensi kelompok atau kelas menengah (middle class) dalam suatu negara atau perekonomian sebenarnya bukan lagi isu baru. Sejarawan ekonomi seperti Adelman &amp; Morris (1967) dan Landes (1998) menyatakan bahwa kelas menengah adalah kekuatan pendorong (driving force) bagi proses pembangunan ekonomi yang lebih cepat di Inggris dan daratan Eropa pada abad ke-19 (Easterly, 2001). Oleh karena itu, perhatian terhadap kelas menengah dan kebijakan untuk mempromosikannya semakin besar. Selain itu juga didasarkan pada keyakinan bahwa kelas menengah merupakan prasyarat (prerequisite) penting bagi pertumbuhan ekonomi dan pembangunan yang lebih kokoh dan berkelanjutan. Analisis tentang kelas menengah sebagai isu sentral telah memberikan pengaruh yang kuat terhadap kelompok ini pada masyarakat, politik dan ekonomi. Kelas menengah dianggap sebagai tulang punggung ekonomi pasar (market economy) dan demokrasi yang menjamin stabilitas sosial dan politik dengan mendorong kohesi sosial dan memitigasi konflik antara yang kaya dan miskin (Barro 1996, Birdsall et al. 2000). Kelas menengah yang besar dan stabil diyakini dapat menghasilkan manfaat ekonomi dan mendorong pembangunan ekonomi, melalui penekanannya pada investasi sumber daya manusia, konsumsi dan tabungan, memberikan kontribusi lebih lanjut pada ekspansi kelompok sosial ini (Easterly 2001), permintaan konsumen (Murphy et. al. 1989), perkembangan usahawan, dan investasi jangka panjang (Doepke &amp; Zilibotti 2007, Acemoglu &amp; Zilibotti 1997). Lebih lanjut, menurut Banerjee &amp; Duflo (2008), kelas menengah yang besar dapat mempromosikan pembangunan, karena beberapa alasan, yaitu : Pertama, 1 kelas menengah memiliki hubungan dengan demokrasi. Jika demokrasi berhubungan kausal dengan pertumbuhan maka dapat disimpulkan bahwa kelas menengah menyebabkan pertumbuhan. Kedua, kelas menengah menyediakan wirausaha yang menciptakan lapangan kerja dan pertumbuhan produktivitas dalam masyarakat. Ketiga, nilai-nilai kelas menengah (middle-class values)—yaitu nilai akumulasi dari modal sumber daya manusia dan tabungan yang sangat sulit diakumulasikan oleh kelompok masyarakat miskin—sangat penting bagi pertumbuhan ekonomi. Keempat, kelas menengah mendorong permintaan terhadap barang-barang konsumsi berkualitas tinggi dengan skala produksi yang meningkat (increasing returns to scale) karena mereka memiliki kemauan dan kemampuan untuk membayar ekstra atas produk-produk berkualitas tinggi. Hal inilah yang mendorong perusahaan untuk melakukan in…","author":[{"dropping-particle":"","family":"Nizar","given":"Muhammad Afdi","non-dropping-particle":"","parse-names":false,"suffix":""}],"container-title":"Bunga Rampai Ekonomi Keuangan","id":"ITEM-1","issue":"June","issued":{"date-parts":[["2015"]]},"page":"173-191","title":"Kelas Menengah (Middle Class) Dan Implikasinya Bagi Perekonomian Indonesia","type":"article-journal"},"uris":["http://www.mendeley.com/documents/?uuid=0432223d-4a83-49f4-b17c-103167092fa6"]}],"mendeley":{"formattedCitation":"(Nizar, 2015)","plainTextFormattedCitation":"(Nizar, 2015)","previouslyFormattedCitation":"(Nizar, 2015)"},"properties":{"noteIndex":0},"schema":"https://github.com/citation-style-language/schema/raw/master/csl-citation.json"}</w:instrText>
      </w:r>
      <w:r>
        <w:rPr>
          <w:rStyle w:val="jlqj4b"/>
          <w:rFonts w:asciiTheme="majorBidi" w:hAnsiTheme="majorBidi" w:cstheme="majorBidi"/>
          <w:sz w:val="20"/>
          <w:szCs w:val="20"/>
          <w:lang w:val="en"/>
        </w:rPr>
        <w:fldChar w:fldCharType="separate"/>
      </w:r>
      <w:r w:rsidRPr="00B65532">
        <w:rPr>
          <w:rStyle w:val="jlqj4b"/>
          <w:rFonts w:asciiTheme="majorBidi" w:hAnsiTheme="majorBidi" w:cstheme="majorBidi"/>
          <w:noProof/>
          <w:sz w:val="20"/>
          <w:szCs w:val="20"/>
          <w:lang w:val="en"/>
        </w:rPr>
        <w:t>(Nizar, 2015)</w:t>
      </w:r>
      <w:r>
        <w:rPr>
          <w:rStyle w:val="jlqj4b"/>
          <w:rFonts w:asciiTheme="majorBidi" w:hAnsiTheme="majorBidi" w:cstheme="majorBidi"/>
          <w:sz w:val="20"/>
          <w:szCs w:val="20"/>
          <w:lang w:val="en"/>
        </w:rPr>
        <w:fldChar w:fldCharType="end"/>
      </w:r>
    </w:p>
    <w:p w14:paraId="1F26916A" w14:textId="77777777" w:rsidR="00B65532" w:rsidRDefault="00B65532" w:rsidP="00721718">
      <w:pPr>
        <w:spacing w:line="240" w:lineRule="auto"/>
        <w:jc w:val="both"/>
        <w:rPr>
          <w:rFonts w:asciiTheme="majorBidi" w:hAnsiTheme="majorBidi" w:cstheme="majorBidi"/>
          <w:sz w:val="20"/>
          <w:szCs w:val="20"/>
          <w:lang w:val="en"/>
        </w:rPr>
      </w:pPr>
      <w:r w:rsidRPr="00B65532">
        <w:rPr>
          <w:rStyle w:val="jlqj4b"/>
          <w:rFonts w:asciiTheme="majorBidi" w:hAnsiTheme="majorBidi" w:cstheme="majorBidi"/>
          <w:sz w:val="20"/>
          <w:szCs w:val="20"/>
          <w:lang w:val="en"/>
        </w:rPr>
        <w:t>The development of e-commerce in the Southeast Asian region is still underdeveloped accounting for less than one percent of total retail sales compared to levels of six to eight percent in Europe, China and the United States.</w:t>
      </w:r>
      <w:r w:rsidRPr="00B65532">
        <w:rPr>
          <w:rStyle w:val="viiyi"/>
          <w:rFonts w:asciiTheme="majorBidi" w:hAnsiTheme="majorBidi" w:cstheme="majorBidi"/>
          <w:sz w:val="20"/>
          <w:szCs w:val="20"/>
          <w:lang w:val="en"/>
        </w:rPr>
        <w:t xml:space="preserve"> </w:t>
      </w:r>
      <w:r w:rsidRPr="00B65532">
        <w:rPr>
          <w:rStyle w:val="jlqj4b"/>
          <w:rFonts w:asciiTheme="majorBidi" w:hAnsiTheme="majorBidi" w:cstheme="majorBidi"/>
          <w:sz w:val="20"/>
          <w:szCs w:val="20"/>
          <w:lang w:val="en"/>
        </w:rPr>
        <w:t>In the coming years as purchasing power increases, internet penetration spreads and online offerings improve, online retail in the ASEAN market could grow by as much as 25% per year</w:t>
      </w:r>
      <w:r>
        <w:rPr>
          <w:rStyle w:val="jlqj4b"/>
          <w:rFonts w:asciiTheme="majorBidi" w:hAnsiTheme="majorBidi" w:cstheme="majorBidi"/>
          <w:sz w:val="20"/>
          <w:szCs w:val="20"/>
          <w:lang w:val="en"/>
        </w:rPr>
        <w:t xml:space="preserve">. </w:t>
      </w:r>
      <w:r w:rsidR="00901D5E">
        <w:rPr>
          <w:rStyle w:val="FootnoteReference"/>
          <w:rFonts w:asciiTheme="majorBidi" w:hAnsiTheme="majorBidi" w:cstheme="majorBidi"/>
          <w:sz w:val="20"/>
          <w:szCs w:val="20"/>
          <w:lang w:val="en"/>
        </w:rPr>
        <w:fldChar w:fldCharType="begin" w:fldLock="1"/>
      </w:r>
      <w:r w:rsidR="00901D5E">
        <w:rPr>
          <w:rFonts w:asciiTheme="majorBidi" w:hAnsiTheme="majorBidi" w:cstheme="majorBidi"/>
          <w:sz w:val="20"/>
          <w:szCs w:val="20"/>
          <w:lang w:val="en"/>
        </w:rPr>
        <w:instrText>ADDIN CSL_CITATION {"citationItems":[{"id":"ITEM-1","itemData":{"abstract":"With the Association of Southeast Asian Nations (ASEAN) Economic Community set to come into effect by the end of 2015, retail e-commerce offers a unique opportunity to connect millions of merchants and consumers across the region.1 Today, e-commerce remains relatively underdeveloped in Southeast Asia, accounting for less than 1 percent of total retail sales, compared to rates of 6 to 8 percent in Europe, China, and the United States. In the coming years, as purchasing power increases, Internet penetration spreads, and online offerings improve, online retail in ASEAN markets could grow as much as 25 percent annually. To spur this growth, some initiatives have already been launched across the region, but further interventions are required to ensure future growth. The Lifting-the-Barriers roundtable at the ASEAN Business Club Forum, held in September 2014 in Singapore, highlighted five specific actions that ASEAN countries should consider to take e-commerce to the next level. 1. Increase broadband access: Using state-aid funding where private investment is not sufficient, enhancing cross-border connectivity, and increasing efforts to raise online awareness. 2. Support the emergence of local players: Improving access to finance for small and medium enterprises, fostering the integration of digital talent into businesses, and promoting awareness of e-commerce marketplaces. 3. Reinforce online security: Increasing information sharing and bilateral assistance, harmonizing existing legislative frameworks, and creating a regional online dispute- resolution facility. 4. Promote e-payment: Encouraging non-cash transactions, establishing e-payment-specific regulations, and harmonizing e-payment regulations regionally. 5. Improve logistics and trade efficiency: Encouraging the development of online retail logistics services, facilitating e-retailers and logistics players’ partnerships, accelerating the integration of logistics systems, and ensuring full implementation of the ASEAN Single Window.2 A holistic approach that encompasses the five actions above would allow the region to unleash the full potential of e-commerce. This paper provides a structured understanding of the main barriers that limit retail e-commerce growth in ASEAN while providing guidance on the way forward. It specifically shares an overview of retail e-commerce across the ASEAN 6—the six major ASEAN economies: Indonesia, Malaysia, Philippines, Singapore, Thailand, and Vietnam—and suggests how to…","author":[{"dropping-particle":"","family":"AT Kearney","given":"","non-dropping-particle":"","parse-names":false,"suffix":""}],"id":"ITEM-1","issued":{"date-parts":[["2015"]]},"page":"1-23","title":"Lifting the Barriers to E-Commerce in ASEAN","type":"article-journal"},"uris":["http://www.mendeley.com/documents/?uuid=4030f7e8-184b-4a9e-ad61-219ef3db00d3"]}],"mendeley":{"formattedCitation":"(AT Kearney, 2015)","plainTextFormattedCitation":"(AT Kearney, 2015)","previouslyFormattedCitation":"(AT Kearney, 2015)"},"properties":{"noteIndex":0},"schema":"https://github.com/citation-style-language/schema/raw/master/csl-citation.json"}</w:instrText>
      </w:r>
      <w:r w:rsidR="00901D5E">
        <w:rPr>
          <w:rStyle w:val="FootnoteReference"/>
          <w:rFonts w:asciiTheme="majorBidi" w:hAnsiTheme="majorBidi" w:cstheme="majorBidi"/>
          <w:sz w:val="20"/>
          <w:szCs w:val="20"/>
          <w:lang w:val="en"/>
        </w:rPr>
        <w:fldChar w:fldCharType="separate"/>
      </w:r>
      <w:r w:rsidR="00901D5E" w:rsidRPr="00901D5E">
        <w:rPr>
          <w:rFonts w:asciiTheme="majorBidi" w:hAnsiTheme="majorBidi" w:cstheme="majorBidi"/>
          <w:noProof/>
          <w:sz w:val="20"/>
          <w:szCs w:val="20"/>
          <w:lang w:val="en"/>
        </w:rPr>
        <w:t>(AT Kearney, 2015)</w:t>
      </w:r>
      <w:r w:rsidR="00901D5E">
        <w:rPr>
          <w:rStyle w:val="FootnoteReference"/>
          <w:rFonts w:asciiTheme="majorBidi" w:hAnsiTheme="majorBidi" w:cstheme="majorBidi"/>
          <w:sz w:val="20"/>
          <w:szCs w:val="20"/>
          <w:lang w:val="en"/>
        </w:rPr>
        <w:fldChar w:fldCharType="end"/>
      </w:r>
    </w:p>
    <w:p w14:paraId="25A552F2" w14:textId="77777777" w:rsidR="00901D5E" w:rsidRDefault="00901D5E" w:rsidP="00721718">
      <w:pPr>
        <w:spacing w:line="240" w:lineRule="auto"/>
        <w:jc w:val="both"/>
        <w:rPr>
          <w:rStyle w:val="jlqj4b"/>
          <w:rFonts w:asciiTheme="majorBidi" w:hAnsiTheme="majorBidi" w:cstheme="majorBidi"/>
          <w:sz w:val="20"/>
          <w:szCs w:val="20"/>
          <w:lang w:val="en"/>
        </w:rPr>
      </w:pPr>
      <w:r w:rsidRPr="00901D5E">
        <w:rPr>
          <w:rStyle w:val="jlqj4b"/>
          <w:rFonts w:asciiTheme="majorBidi" w:hAnsiTheme="majorBidi" w:cstheme="majorBidi"/>
          <w:sz w:val="20"/>
          <w:szCs w:val="20"/>
          <w:lang w:val="en"/>
        </w:rPr>
        <w:t>The view of class division in society then develops in various countries depending on the emphasis on political, economic, social, or cultural criteria so that middle class groups emerge.</w:t>
      </w:r>
      <w:r w:rsidRPr="00901D5E">
        <w:rPr>
          <w:rStyle w:val="viiyi"/>
          <w:rFonts w:asciiTheme="majorBidi" w:hAnsiTheme="majorBidi" w:cstheme="majorBidi"/>
          <w:sz w:val="20"/>
          <w:szCs w:val="20"/>
          <w:lang w:val="en"/>
        </w:rPr>
        <w:t xml:space="preserve"> </w:t>
      </w:r>
      <w:r w:rsidRPr="00901D5E">
        <w:rPr>
          <w:rStyle w:val="jlqj4b"/>
          <w:rFonts w:asciiTheme="majorBidi" w:hAnsiTheme="majorBidi" w:cstheme="majorBidi"/>
          <w:sz w:val="20"/>
          <w:szCs w:val="20"/>
          <w:lang w:val="en"/>
        </w:rPr>
        <w:t>This middle class trend started from developed countries in Europe and America and then moved to the eastern region, including Southeast Asia</w:t>
      </w:r>
      <w:r>
        <w:rPr>
          <w:rStyle w:val="jlqj4b"/>
          <w:rFonts w:asciiTheme="majorBidi" w:hAnsiTheme="majorBidi" w:cstheme="majorBidi"/>
          <w:sz w:val="20"/>
          <w:szCs w:val="20"/>
          <w:lang w:val="en"/>
        </w:rPr>
        <w:t xml:space="preserve">. </w:t>
      </w:r>
      <w:r>
        <w:rPr>
          <w:rStyle w:val="jlqj4b"/>
          <w:rFonts w:asciiTheme="majorBidi" w:hAnsiTheme="majorBidi" w:cstheme="majorBidi"/>
          <w:sz w:val="20"/>
          <w:szCs w:val="20"/>
          <w:lang w:val="en"/>
        </w:rPr>
        <w:fldChar w:fldCharType="begin" w:fldLock="1"/>
      </w:r>
      <w:r w:rsidR="000264CE">
        <w:rPr>
          <w:rStyle w:val="jlqj4b"/>
          <w:rFonts w:asciiTheme="majorBidi" w:hAnsiTheme="majorBidi" w:cstheme="majorBidi"/>
          <w:sz w:val="20"/>
          <w:szCs w:val="20"/>
          <w:lang w:val="en"/>
        </w:rPr>
        <w:instrText>ADDIN CSL_CITATION {"citationItems":[{"id":"ITEM-1","itemData":{"author":[{"dropping-particle":"","family":"Ningrum","given":"Vanda","non-dropping-particle":"","parse-names":false,"suffix":""},{"dropping-particle":"","family":"Adhi","given":"Intan","non-dropping-particle":"","parse-names":false,"suffix":""},{"dropping-particle":"","family":"Putri","given":"Perdana","non-dropping-particle":"","parse-names":false,"suffix":""},{"dropping-particle":"","family":"Ekaputri","given":"Andini Desita","non-dropping-particle":"","parse-names":false,"suffix":""}],"container-title":"Jurnal Kependudukan Indonesia","id":"ITEM-1","issue":"2","issued":{"date-parts":[["2014"]]},"page":"97-107","title":"Penduduk Muda Kelas Menengah , Gaya Hidup , dan Keterlibatan Politik : Studi Empiris Perkotaan di Jabodetabek ( Young Middle Class Population , Lifestyle and Political Participation : Em ... Peningkatan Penduduk Usia Muda dan Kelas Menengah","type":"article-journal","volume":"9"},"uris":["http://www.mendeley.com/documents/?uuid=c1cee908-0a7e-4d04-8b20-85fc292a86c8"]}],"mendeley":{"formattedCitation":"(Ningrum et al., 2014)","plainTextFormattedCitation":"(Ningrum et al., 2014)","previouslyFormattedCitation":"(Ningrum et al., 2014)"},"properties":{"noteIndex":0},"schema":"https://github.com/citation-style-language/schema/raw/master/csl-citation.json"}</w:instrText>
      </w:r>
      <w:r>
        <w:rPr>
          <w:rStyle w:val="jlqj4b"/>
          <w:rFonts w:asciiTheme="majorBidi" w:hAnsiTheme="majorBidi" w:cstheme="majorBidi"/>
          <w:sz w:val="20"/>
          <w:szCs w:val="20"/>
          <w:lang w:val="en"/>
        </w:rPr>
        <w:fldChar w:fldCharType="separate"/>
      </w:r>
      <w:r w:rsidRPr="00901D5E">
        <w:rPr>
          <w:rStyle w:val="jlqj4b"/>
          <w:rFonts w:asciiTheme="majorBidi" w:hAnsiTheme="majorBidi" w:cstheme="majorBidi"/>
          <w:noProof/>
          <w:sz w:val="20"/>
          <w:szCs w:val="20"/>
          <w:lang w:val="en"/>
        </w:rPr>
        <w:t>(Ningrum et al., 2014)</w:t>
      </w:r>
      <w:r>
        <w:rPr>
          <w:rStyle w:val="jlqj4b"/>
          <w:rFonts w:asciiTheme="majorBidi" w:hAnsiTheme="majorBidi" w:cstheme="majorBidi"/>
          <w:sz w:val="20"/>
          <w:szCs w:val="20"/>
          <w:lang w:val="en"/>
        </w:rPr>
        <w:fldChar w:fldCharType="end"/>
      </w:r>
      <w:r>
        <w:rPr>
          <w:rStyle w:val="jlqj4b"/>
          <w:rFonts w:asciiTheme="majorBidi" w:hAnsiTheme="majorBidi" w:cstheme="majorBidi"/>
          <w:sz w:val="20"/>
          <w:szCs w:val="20"/>
          <w:lang w:val="en"/>
        </w:rPr>
        <w:t xml:space="preserve"> </w:t>
      </w:r>
      <w:r w:rsidRPr="00901D5E">
        <w:rPr>
          <w:rStyle w:val="jlqj4b"/>
          <w:rFonts w:asciiTheme="majorBidi" w:hAnsiTheme="majorBidi" w:cstheme="majorBidi"/>
          <w:sz w:val="20"/>
          <w:szCs w:val="20"/>
          <w:lang w:val="en"/>
        </w:rPr>
        <w:t>According to Geoff Gertz, who defines the middle class as residents with daily expenses between $ 10 to $ 100 per person in purchasing power parity terms</w:t>
      </w:r>
      <w:r>
        <w:rPr>
          <w:rStyle w:val="jlqj4b"/>
          <w:rFonts w:asciiTheme="majorBidi" w:hAnsiTheme="majorBidi" w:cstheme="majorBidi"/>
          <w:sz w:val="20"/>
          <w:szCs w:val="20"/>
          <w:lang w:val="en"/>
        </w:rPr>
        <w:t xml:space="preserve">. </w:t>
      </w:r>
      <w:r w:rsidR="000264CE">
        <w:rPr>
          <w:rStyle w:val="jlqj4b"/>
          <w:rFonts w:asciiTheme="majorBidi" w:hAnsiTheme="majorBidi" w:cstheme="majorBidi"/>
          <w:sz w:val="20"/>
          <w:szCs w:val="20"/>
          <w:lang w:val="en"/>
        </w:rPr>
        <w:fldChar w:fldCharType="begin" w:fldLock="1"/>
      </w:r>
      <w:r w:rsidR="000264CE">
        <w:rPr>
          <w:rStyle w:val="jlqj4b"/>
          <w:rFonts w:asciiTheme="majorBidi" w:hAnsiTheme="majorBidi" w:cstheme="majorBidi"/>
          <w:sz w:val="20"/>
          <w:szCs w:val="20"/>
          <w:lang w:val="en"/>
        </w:rPr>
        <w:instrText>ADDIN CSL_CITATION {"citationItems":[{"id":"ITEM-1","itemData":{"DOI":"10.32677/ijch.2015.v02.i03.009","ISSN":"23496118","abstract":"The shift in global goods production towards Asia is well documented. But global consumer demand has so far been concentrated in the rich economies of the OECD. Will that also shift towards Asia as these countries get richer? This paper defines a global middle class as all those living in households with daily per capita incomes of between USD10 and USD100 in PPP terms. By combining household survey data with growth projections for 145 countries, it shows that Asia accounts for less than one-quarter of today’s middle class. By 2020, that share could double. More than half the world’s middle class could be in Asia and Asian consumers could account for over 40 per cent of global middle class consumption. This is because a large mass of Asian households have incomes today that position them just below the global middle class threshold and so increasingly large numbers of Asians are expected to become middle class in the next ten years. The paper explores how this can help sustain global growth in the medium term, driven by product differentiation, branding and marketing in the new growth markets of Asia.","author":[{"dropping-particle":"","family":"Kharas","given":"Homi","non-dropping-particle":"","parse-names":false,"suffix":""}],"container-title":"OECD Developing Center","id":"ITEM-1","issue":"03","issued":{"date-parts":[["2015"]]},"page":"131-133","title":"The Emerging Middle Class in Developing Country","type":"article-journal","volume":"02"},"uris":["http://www.mendeley.com/documents/?uuid=4e2c671c-3051-477c-9303-0181d9f02bde"]}],"mendeley":{"formattedCitation":"(Kharas, 2015)","plainTextFormattedCitation":"(Kharas, 2015)","previouslyFormattedCitation":"(Kharas, 2015)"},"properties":{"noteIndex":0},"schema":"https://github.com/citation-style-language/schema/raw/master/csl-citation.json"}</w:instrText>
      </w:r>
      <w:r w:rsidR="000264CE">
        <w:rPr>
          <w:rStyle w:val="jlqj4b"/>
          <w:rFonts w:asciiTheme="majorBidi" w:hAnsiTheme="majorBidi" w:cstheme="majorBidi"/>
          <w:sz w:val="20"/>
          <w:szCs w:val="20"/>
          <w:lang w:val="en"/>
        </w:rPr>
        <w:fldChar w:fldCharType="separate"/>
      </w:r>
      <w:r w:rsidR="000264CE" w:rsidRPr="000264CE">
        <w:rPr>
          <w:rStyle w:val="jlqj4b"/>
          <w:rFonts w:asciiTheme="majorBidi" w:hAnsiTheme="majorBidi" w:cstheme="majorBidi"/>
          <w:noProof/>
          <w:sz w:val="20"/>
          <w:szCs w:val="20"/>
          <w:lang w:val="en"/>
        </w:rPr>
        <w:t>(Kharas, 2015)</w:t>
      </w:r>
      <w:r w:rsidR="000264CE">
        <w:rPr>
          <w:rStyle w:val="jlqj4b"/>
          <w:rFonts w:asciiTheme="majorBidi" w:hAnsiTheme="majorBidi" w:cstheme="majorBidi"/>
          <w:sz w:val="20"/>
          <w:szCs w:val="20"/>
          <w:lang w:val="en"/>
        </w:rPr>
        <w:fldChar w:fldCharType="end"/>
      </w:r>
      <w:r w:rsidR="000264CE">
        <w:rPr>
          <w:rStyle w:val="jlqj4b"/>
          <w:rFonts w:asciiTheme="majorBidi" w:hAnsiTheme="majorBidi" w:cstheme="majorBidi"/>
          <w:sz w:val="20"/>
          <w:szCs w:val="20"/>
          <w:lang w:val="en"/>
        </w:rPr>
        <w:t xml:space="preserve">. </w:t>
      </w:r>
      <w:r w:rsidR="000264CE" w:rsidRPr="000264CE">
        <w:rPr>
          <w:rStyle w:val="jlqj4b"/>
          <w:rFonts w:asciiTheme="majorBidi" w:hAnsiTheme="majorBidi" w:cstheme="majorBidi"/>
          <w:sz w:val="20"/>
          <w:szCs w:val="20"/>
          <w:lang w:val="en"/>
        </w:rPr>
        <w:t>In line with this definition, there are changes in the lifestyle of the consumptive community in using the cashless transaction system in buying and selling by involving technological advances and networks or what is known as electronic trading.</w:t>
      </w:r>
    </w:p>
    <w:p w14:paraId="526BD3AC" w14:textId="77777777" w:rsidR="000264CE" w:rsidRDefault="000264CE" w:rsidP="00721718">
      <w:pPr>
        <w:spacing w:line="240" w:lineRule="auto"/>
        <w:jc w:val="both"/>
        <w:rPr>
          <w:rStyle w:val="jlqj4b"/>
          <w:rFonts w:asciiTheme="majorBidi" w:hAnsiTheme="majorBidi" w:cstheme="majorBidi"/>
          <w:sz w:val="20"/>
          <w:szCs w:val="20"/>
          <w:lang w:val="en"/>
        </w:rPr>
      </w:pPr>
      <w:r w:rsidRPr="000264CE">
        <w:rPr>
          <w:rStyle w:val="jlqj4b"/>
          <w:rFonts w:asciiTheme="majorBidi" w:hAnsiTheme="majorBidi" w:cstheme="majorBidi"/>
          <w:sz w:val="20"/>
          <w:szCs w:val="20"/>
          <w:lang w:val="en"/>
        </w:rPr>
        <w:t>The digital economy refers to digital access to goods and services, and the use of digital technology to help businesses.</w:t>
      </w:r>
      <w:r w:rsidRPr="000264CE">
        <w:rPr>
          <w:rStyle w:val="viiyi"/>
          <w:rFonts w:asciiTheme="majorBidi" w:hAnsiTheme="majorBidi" w:cstheme="majorBidi"/>
          <w:sz w:val="20"/>
          <w:szCs w:val="20"/>
          <w:lang w:val="en"/>
        </w:rPr>
        <w:t xml:space="preserve"> </w:t>
      </w:r>
      <w:r w:rsidRPr="000264CE">
        <w:rPr>
          <w:rStyle w:val="jlqj4b"/>
          <w:rFonts w:asciiTheme="majorBidi" w:hAnsiTheme="majorBidi" w:cstheme="majorBidi"/>
          <w:sz w:val="20"/>
          <w:szCs w:val="20"/>
          <w:lang w:val="en"/>
        </w:rPr>
        <w:t xml:space="preserve">Where is the stage of production, distribution, marketing, sales or delivery of goods and services by electronic </w:t>
      </w:r>
      <w:proofErr w:type="gramStart"/>
      <w:r w:rsidRPr="000264CE">
        <w:rPr>
          <w:rStyle w:val="jlqj4b"/>
          <w:rFonts w:asciiTheme="majorBidi" w:hAnsiTheme="majorBidi" w:cstheme="majorBidi"/>
          <w:sz w:val="20"/>
          <w:szCs w:val="20"/>
          <w:lang w:val="en"/>
        </w:rPr>
        <w:t>means.</w:t>
      </w:r>
      <w:proofErr w:type="gramEnd"/>
      <w:r w:rsidRPr="000264CE">
        <w:rPr>
          <w:rStyle w:val="viiyi"/>
          <w:rFonts w:asciiTheme="majorBidi" w:hAnsiTheme="majorBidi" w:cstheme="majorBidi"/>
          <w:sz w:val="20"/>
          <w:szCs w:val="20"/>
          <w:lang w:val="en"/>
        </w:rPr>
        <w:t xml:space="preserve"> </w:t>
      </w:r>
      <w:r w:rsidRPr="000264CE">
        <w:rPr>
          <w:rStyle w:val="jlqj4b"/>
          <w:rFonts w:asciiTheme="majorBidi" w:hAnsiTheme="majorBidi" w:cstheme="majorBidi"/>
          <w:sz w:val="20"/>
          <w:szCs w:val="20"/>
          <w:lang w:val="en"/>
        </w:rPr>
        <w:t>In line with the definition of e-commerce transactions according to the Organization for Economic Cooperation and Development (OECD) that: "The sale or purchase of goods or services is carried out through a computer network with a method specifically designed for the purpose of receiving or placing orders"</w:t>
      </w:r>
      <w:r>
        <w:rPr>
          <w:rStyle w:val="jlqj4b"/>
          <w:rFonts w:asciiTheme="majorBidi" w:hAnsiTheme="majorBidi" w:cstheme="majorBidi"/>
          <w:sz w:val="20"/>
          <w:szCs w:val="20"/>
          <w:lang w:val="en"/>
        </w:rPr>
        <w:fldChar w:fldCharType="begin" w:fldLock="1"/>
      </w:r>
      <w:r w:rsidR="00C7472C">
        <w:rPr>
          <w:rStyle w:val="jlqj4b"/>
          <w:rFonts w:asciiTheme="majorBidi" w:hAnsiTheme="majorBidi" w:cstheme="majorBidi"/>
          <w:sz w:val="20"/>
          <w:szCs w:val="20"/>
          <w:lang w:val="en"/>
        </w:rPr>
        <w:instrText>ADDIN CSL_CITATION {"citationItems":[{"id":"ITEM-1","itemData":{"ISSN":"1528-7483","abstract":"Five new metal-organic frameworks (MOFs), {[Zn2(BPPA)2(BDC)2]{\\textbullet}6H2O}n (1), {[Cd3(BPPA) (BDC)2(DMF)2]{\\textbullet}DMF{\\textbullet}3H2O}n (2), {[Zn(BPPA)(NDC)1/2(HCO2)]}n (3), {[Zn3(BPPA)3(TFBDC)3]{\\textbullet}H2O}n (4) and {[Cd2(BPPA)2(TFBDC)2]}n (5) have been synthesized from the self-assembly of the {\\textquotedblleft}V-shape{\\textquotedblright} BPPA ligand with Zn/Cd metal salts, incorporating co-ligands (H2BDC = 1,4-benzenedicarboxylic acid, H2NDC = 2,6-naphthalenedicarboxylic acid, TFBDC = 2,3,5,6-tetrafluoroterephthalic acid, BPPA = bis(4-(pyridine-4-yl)phenyl)amine, DMF = N,N-dimethylformamide). Compound 1 is a 4-fold interpenetrated 3D network with sra topology. Compound 2 is the first 2-fold interpenetrated sxa topology based on trinuclear SBUs, which is different from the previous Cd(II) trinuclear clusters. Compound 3 is a 1D chain by utilizing {\\textquotedblleft}longer{\\textquotedblright} rigid H2NDC co-ligand. Via {\\textquotedblleft}fatter{\\textquotedblright} rigid TFBDC ligand, we control interpenetration by one-pot synthesis. Both compounds 4 and 5 are noninterpenetrated 3D 6T8 frameworks, and the 6T8 topology has never seen in MOFs bef...","author":[{"dropping-particle":"","family":"OECD","given":"","non-dropping-particle":"","parse-names":false,"suffix":""}],"container-title":"Measuring the Information Economy","id":"ITEM-1","issue":"April 2000","issued":{"date-parts":[["2002"]]},"page":"89-90","title":"ANNEX 4. The OECD definitions of internet and e-commerce transactions","type":"article-journal"},"uris":["http://www.mendeley.com/documents/?uuid=8aceffe6-dbe8-4170-a1d0-31bc64dae7b2"]}],"mendeley":{"formattedCitation":"(OECD, 2002a)","plainTextFormattedCitation":"(OECD, 2002a)","previouslyFormattedCitation":"(OECD, 2002a)"},"properties":{"noteIndex":0},"schema":"https://github.com/citation-style-language/schema/raw/master/csl-citation.json"}</w:instrText>
      </w:r>
      <w:r>
        <w:rPr>
          <w:rStyle w:val="jlqj4b"/>
          <w:rFonts w:asciiTheme="majorBidi" w:hAnsiTheme="majorBidi" w:cstheme="majorBidi"/>
          <w:sz w:val="20"/>
          <w:szCs w:val="20"/>
          <w:lang w:val="en"/>
        </w:rPr>
        <w:fldChar w:fldCharType="separate"/>
      </w:r>
      <w:r w:rsidR="007A1308" w:rsidRPr="007A1308">
        <w:rPr>
          <w:rStyle w:val="jlqj4b"/>
          <w:rFonts w:asciiTheme="majorBidi" w:hAnsiTheme="majorBidi" w:cstheme="majorBidi"/>
          <w:noProof/>
          <w:sz w:val="20"/>
          <w:szCs w:val="20"/>
          <w:lang w:val="en"/>
        </w:rPr>
        <w:t>(OECD, 2002a)</w:t>
      </w:r>
      <w:r>
        <w:rPr>
          <w:rStyle w:val="jlqj4b"/>
          <w:rFonts w:asciiTheme="majorBidi" w:hAnsiTheme="majorBidi" w:cstheme="majorBidi"/>
          <w:sz w:val="20"/>
          <w:szCs w:val="20"/>
          <w:lang w:val="en"/>
        </w:rPr>
        <w:fldChar w:fldCharType="end"/>
      </w:r>
      <w:r w:rsidR="006F6334">
        <w:rPr>
          <w:rStyle w:val="jlqj4b"/>
          <w:rFonts w:asciiTheme="majorBidi" w:hAnsiTheme="majorBidi" w:cstheme="majorBidi"/>
          <w:sz w:val="20"/>
          <w:szCs w:val="20"/>
          <w:lang w:val="en"/>
        </w:rPr>
        <w:t>.</w:t>
      </w:r>
    </w:p>
    <w:p w14:paraId="0DA44B73" w14:textId="77777777" w:rsidR="006F6334" w:rsidRDefault="006F6334" w:rsidP="00721718">
      <w:pPr>
        <w:spacing w:line="240" w:lineRule="auto"/>
        <w:jc w:val="both"/>
        <w:rPr>
          <w:rStyle w:val="jlqj4b"/>
          <w:rFonts w:asciiTheme="majorBidi" w:hAnsiTheme="majorBidi" w:cstheme="majorBidi"/>
          <w:sz w:val="20"/>
          <w:szCs w:val="20"/>
          <w:lang w:val="en"/>
        </w:rPr>
      </w:pPr>
      <w:r>
        <w:rPr>
          <w:rStyle w:val="jlqj4b"/>
          <w:lang w:val="en"/>
        </w:rPr>
        <w:t>I</w:t>
      </w:r>
      <w:r w:rsidRPr="006F6334">
        <w:rPr>
          <w:rStyle w:val="jlqj4b"/>
          <w:rFonts w:asciiTheme="majorBidi" w:hAnsiTheme="majorBidi" w:cstheme="majorBidi"/>
          <w:sz w:val="20"/>
          <w:szCs w:val="20"/>
          <w:lang w:val="en"/>
        </w:rPr>
        <w:t>nternational trade has many advantages because the reach of the market and trading area will be wider so that it will increase the income of traders.</w:t>
      </w:r>
      <w:r w:rsidRPr="006F6334">
        <w:rPr>
          <w:rStyle w:val="viiyi"/>
          <w:rFonts w:asciiTheme="majorBidi" w:hAnsiTheme="majorBidi" w:cstheme="majorBidi"/>
          <w:sz w:val="20"/>
          <w:szCs w:val="20"/>
          <w:lang w:val="en"/>
        </w:rPr>
        <w:t xml:space="preserve"> </w:t>
      </w:r>
      <w:r w:rsidRPr="006F6334">
        <w:rPr>
          <w:rStyle w:val="jlqj4b"/>
          <w:rFonts w:asciiTheme="majorBidi" w:hAnsiTheme="majorBidi" w:cstheme="majorBidi"/>
          <w:sz w:val="20"/>
          <w:szCs w:val="20"/>
          <w:lang w:val="en"/>
        </w:rPr>
        <w:t xml:space="preserve">There are two main data </w:t>
      </w:r>
      <w:r w:rsidRPr="006F6334">
        <w:rPr>
          <w:rStyle w:val="jlqj4b"/>
          <w:rFonts w:asciiTheme="majorBidi" w:hAnsiTheme="majorBidi" w:cstheme="majorBidi"/>
          <w:sz w:val="20"/>
          <w:szCs w:val="20"/>
          <w:lang w:val="en"/>
        </w:rPr>
        <w:lastRenderedPageBreak/>
        <w:t>items used in the concept of international trade which are: “imports and exports.</w:t>
      </w:r>
      <w:r w:rsidRPr="006F6334">
        <w:rPr>
          <w:rStyle w:val="viiyi"/>
          <w:rFonts w:asciiTheme="majorBidi" w:hAnsiTheme="majorBidi" w:cstheme="majorBidi"/>
          <w:sz w:val="20"/>
          <w:szCs w:val="20"/>
          <w:lang w:val="en"/>
        </w:rPr>
        <w:t xml:space="preserve"> </w:t>
      </w:r>
      <w:r w:rsidRPr="006F6334">
        <w:rPr>
          <w:rStyle w:val="jlqj4b"/>
          <w:rFonts w:asciiTheme="majorBidi" w:hAnsiTheme="majorBidi" w:cstheme="majorBidi"/>
          <w:sz w:val="20"/>
          <w:szCs w:val="20"/>
          <w:lang w:val="en"/>
        </w:rPr>
        <w:t>Imports of goods measure the value of goods entering a country's domestic territory regardless of their final destination.</w:t>
      </w:r>
      <w:r w:rsidRPr="006F6334">
        <w:rPr>
          <w:rStyle w:val="viiyi"/>
          <w:rFonts w:asciiTheme="majorBidi" w:hAnsiTheme="majorBidi" w:cstheme="majorBidi"/>
          <w:sz w:val="20"/>
          <w:szCs w:val="20"/>
          <w:lang w:val="en"/>
        </w:rPr>
        <w:t xml:space="preserve"> </w:t>
      </w:r>
      <w:r w:rsidRPr="006F6334">
        <w:rPr>
          <w:rStyle w:val="jlqj4b"/>
          <w:rFonts w:asciiTheme="majorBidi" w:hAnsiTheme="majorBidi" w:cstheme="majorBidi"/>
          <w:sz w:val="20"/>
          <w:szCs w:val="20"/>
          <w:lang w:val="en"/>
        </w:rPr>
        <w:t>Exports of goods also measure the value of goods leaving the domestic territory of a country, regardless of whether they have been processed domestically or not.</w:t>
      </w:r>
      <w:r w:rsidRPr="006F6334">
        <w:rPr>
          <w:rStyle w:val="viiyi"/>
          <w:rFonts w:asciiTheme="majorBidi" w:hAnsiTheme="majorBidi" w:cstheme="majorBidi"/>
          <w:sz w:val="20"/>
          <w:szCs w:val="20"/>
          <w:lang w:val="en"/>
        </w:rPr>
        <w:t xml:space="preserve"> </w:t>
      </w:r>
      <w:r w:rsidRPr="006F6334">
        <w:rPr>
          <w:rStyle w:val="jlqj4b"/>
          <w:rFonts w:asciiTheme="majorBidi" w:hAnsiTheme="majorBidi" w:cstheme="majorBidi"/>
          <w:sz w:val="20"/>
          <w:szCs w:val="20"/>
          <w:lang w:val="en"/>
        </w:rPr>
        <w:t>Imports (and exports) of services reflect the value of services provided to residents o</w:t>
      </w:r>
      <w:r>
        <w:rPr>
          <w:rStyle w:val="jlqj4b"/>
          <w:rFonts w:asciiTheme="majorBidi" w:hAnsiTheme="majorBidi" w:cstheme="majorBidi"/>
          <w:sz w:val="20"/>
          <w:szCs w:val="20"/>
          <w:lang w:val="en"/>
        </w:rPr>
        <w:t>f other countries.</w:t>
      </w:r>
      <w:r w:rsidR="007A1308">
        <w:rPr>
          <w:rStyle w:val="jlqj4b"/>
          <w:rFonts w:asciiTheme="majorBidi" w:hAnsiTheme="majorBidi" w:cstheme="majorBidi"/>
          <w:sz w:val="20"/>
          <w:szCs w:val="20"/>
          <w:lang w:val="en"/>
        </w:rPr>
        <w:fldChar w:fldCharType="begin" w:fldLock="1"/>
      </w:r>
      <w:r w:rsidR="00C7472C">
        <w:rPr>
          <w:rStyle w:val="jlqj4b"/>
          <w:rFonts w:asciiTheme="majorBidi" w:hAnsiTheme="majorBidi" w:cstheme="majorBidi"/>
          <w:sz w:val="20"/>
          <w:szCs w:val="20"/>
          <w:lang w:val="en"/>
        </w:rPr>
        <w:instrText>ADDIN CSL_CITATION {"citationItems":[{"id":"ITEM-1","itemData":{"author":[{"dropping-particle":"","family":"OECD","given":"","non-dropping-particle":"","parse-names":false,"suffix":""}],"container-title":"Glosarry OECD","id":"ITEM-1","issued":{"date-parts":[["2002"]]},"title":"International Trade","type":"article-journal"},"uris":["http://www.mendeley.com/documents/?uuid=04a8e131-bf68-4dc4-b72e-a579b0f5262e"]}],"mendeley":{"formattedCitation":"(OECD, 2002b)","plainTextFormattedCitation":"(OECD, 2002b)","previouslyFormattedCitation":"(OECD, 2002b)"},"properties":{"noteIndex":0},"schema":"https://github.com/citation-style-language/schema/raw/master/csl-citation.json"}</w:instrText>
      </w:r>
      <w:r w:rsidR="007A1308">
        <w:rPr>
          <w:rStyle w:val="jlqj4b"/>
          <w:rFonts w:asciiTheme="majorBidi" w:hAnsiTheme="majorBidi" w:cstheme="majorBidi"/>
          <w:sz w:val="20"/>
          <w:szCs w:val="20"/>
          <w:lang w:val="en"/>
        </w:rPr>
        <w:fldChar w:fldCharType="separate"/>
      </w:r>
      <w:r w:rsidR="007A1308" w:rsidRPr="007A1308">
        <w:rPr>
          <w:rStyle w:val="jlqj4b"/>
          <w:rFonts w:asciiTheme="majorBidi" w:hAnsiTheme="majorBidi" w:cstheme="majorBidi"/>
          <w:noProof/>
          <w:sz w:val="20"/>
          <w:szCs w:val="20"/>
          <w:lang w:val="en"/>
        </w:rPr>
        <w:t>(OECD, 2002b)</w:t>
      </w:r>
      <w:r w:rsidR="007A1308">
        <w:rPr>
          <w:rStyle w:val="jlqj4b"/>
          <w:rFonts w:asciiTheme="majorBidi" w:hAnsiTheme="majorBidi" w:cstheme="majorBidi"/>
          <w:sz w:val="20"/>
          <w:szCs w:val="20"/>
          <w:lang w:val="en"/>
        </w:rPr>
        <w:fldChar w:fldCharType="end"/>
      </w:r>
      <w:r>
        <w:rPr>
          <w:rStyle w:val="jlqj4b"/>
          <w:rFonts w:asciiTheme="majorBidi" w:hAnsiTheme="majorBidi" w:cstheme="majorBidi"/>
          <w:sz w:val="20"/>
          <w:szCs w:val="20"/>
          <w:lang w:val="en"/>
        </w:rPr>
        <w:t xml:space="preserve"> </w:t>
      </w:r>
    </w:p>
    <w:p w14:paraId="72EF25B5" w14:textId="77777777" w:rsidR="00F364F8" w:rsidRPr="000031F6" w:rsidRDefault="00900EFC" w:rsidP="00721718">
      <w:pPr>
        <w:pStyle w:val="ChapterTitle"/>
        <w:spacing w:before="0" w:after="0"/>
        <w:ind w:left="0" w:firstLineChars="0" w:firstLine="0"/>
        <w:rPr>
          <w:rFonts w:eastAsia="SimSun"/>
          <w:lang w:eastAsia="zh-CN"/>
        </w:rPr>
      </w:pPr>
      <w:r>
        <w:rPr>
          <w:rFonts w:eastAsia="SimSun"/>
          <w:lang w:eastAsia="zh-CN"/>
        </w:rPr>
        <w:t>2</w:t>
      </w:r>
      <w:r w:rsidR="00F364F8">
        <w:rPr>
          <w:rFonts w:eastAsia="SimSun"/>
          <w:lang w:eastAsia="zh-CN"/>
        </w:rPr>
        <w:t xml:space="preserve">. </w:t>
      </w:r>
      <w:r w:rsidR="00F364F8">
        <w:rPr>
          <w:rFonts w:eastAsia="SimSun"/>
          <w:lang w:val="id-ID" w:eastAsia="zh-CN"/>
        </w:rPr>
        <w:t>Method</w:t>
      </w:r>
    </w:p>
    <w:p w14:paraId="5B869407" w14:textId="77777777" w:rsidR="00223591" w:rsidRDefault="00F364F8" w:rsidP="00721718">
      <w:pPr>
        <w:pStyle w:val="ChapterTitle"/>
        <w:spacing w:before="0"/>
        <w:ind w:left="0" w:firstLineChars="0" w:firstLine="0"/>
        <w:jc w:val="both"/>
        <w:rPr>
          <w:b w:val="0"/>
          <w:sz w:val="20"/>
          <w:szCs w:val="22"/>
        </w:rPr>
      </w:pPr>
      <w:r>
        <w:rPr>
          <w:rFonts w:eastAsia="SimSun"/>
          <w:lang w:eastAsia="zh-CN"/>
        </w:rPr>
        <w:t xml:space="preserve">    </w:t>
      </w:r>
      <w:r w:rsidR="00672E84" w:rsidRPr="00672E84">
        <w:rPr>
          <w:rStyle w:val="jlqj4b"/>
          <w:b w:val="0"/>
          <w:bCs w:val="0"/>
          <w:sz w:val="20"/>
          <w:szCs w:val="20"/>
          <w:lang w:val="en"/>
        </w:rPr>
        <w:t>This research uses the Neoliberalism paradigm. The logic of neoliberalism is a market mechanism needed to create efficiency and effectiveness. In the implementation of the market mechanism, regulations are needed that support the existence of the market mechanism in the market system itself. So it is necessary to have an institutional framework where there is a set of rules that are managed through an organization to ensure that a perfect free market can be implemented and free from distortion by the state. The word neo in neoliberalism actually refers to the revival of the old form of economic liberalism which was triggered by Adam Smith's landmark work "The Wealth of Nations" in 1976. Adam Smith uses the theory of the "invisible hand" according to him. will organize and organize all economic relations and life and also encourage every individual to seek the maximum economic benefits</w:t>
      </w:r>
      <w:r w:rsidR="00C7472C">
        <w:rPr>
          <w:rStyle w:val="jlqj4b"/>
          <w:b w:val="0"/>
          <w:bCs w:val="0"/>
          <w:sz w:val="20"/>
          <w:szCs w:val="20"/>
          <w:lang w:val="en"/>
        </w:rPr>
        <w:t xml:space="preserve">. </w:t>
      </w:r>
      <w:r w:rsidR="00C7472C">
        <w:rPr>
          <w:rStyle w:val="jlqj4b"/>
          <w:b w:val="0"/>
          <w:bCs w:val="0"/>
          <w:sz w:val="20"/>
          <w:szCs w:val="20"/>
          <w:lang w:val="en"/>
        </w:rPr>
        <w:fldChar w:fldCharType="begin" w:fldLock="1"/>
      </w:r>
      <w:r w:rsidR="00757996">
        <w:rPr>
          <w:rStyle w:val="jlqj4b"/>
          <w:b w:val="0"/>
          <w:bCs w:val="0"/>
          <w:sz w:val="20"/>
          <w:szCs w:val="20"/>
          <w:lang w:val="en"/>
        </w:rPr>
        <w:instrText>ADDIN CSL_CITATION {"citationItems":[{"id":"ITEM-1","itemData":{"author":[{"dropping-particle":"","family":"Khudori","given":"","non-dropping-particle":"","parse-names":false,"suffix":""}],"edition":"Pertama","id":"ITEM-1","issued":{"date-parts":[["2004"]]},"number-of-pages":"16","publisher":"Resist Book","publisher-place":"Yogyakarta","title":"Neoliberalisme Menumpas Petani","type":"book"},"uris":["http://www.mendeley.com/documents/?uuid=62a4a6fa-bb11-4be7-b0ee-7d80e134fc45"]}],"mendeley":{"formattedCitation":"(Khudori, 2004)","plainTextFormattedCitation":"(Khudori, 2004)","previouslyFormattedCitation":"(Khudori, 2004)"},"properties":{"noteIndex":0},"schema":"https://github.com/citation-style-language/schema/raw/master/csl-citation.json"}</w:instrText>
      </w:r>
      <w:r w:rsidR="00C7472C">
        <w:rPr>
          <w:rStyle w:val="jlqj4b"/>
          <w:b w:val="0"/>
          <w:bCs w:val="0"/>
          <w:sz w:val="20"/>
          <w:szCs w:val="20"/>
          <w:lang w:val="en"/>
        </w:rPr>
        <w:fldChar w:fldCharType="separate"/>
      </w:r>
      <w:r w:rsidR="00C7472C" w:rsidRPr="00C7472C">
        <w:rPr>
          <w:rStyle w:val="jlqj4b"/>
          <w:b w:val="0"/>
          <w:bCs w:val="0"/>
          <w:noProof/>
          <w:sz w:val="20"/>
          <w:szCs w:val="20"/>
          <w:lang w:val="en"/>
        </w:rPr>
        <w:t>(Khudori, 2004)</w:t>
      </w:r>
      <w:r w:rsidR="00C7472C">
        <w:rPr>
          <w:rStyle w:val="jlqj4b"/>
          <w:b w:val="0"/>
          <w:bCs w:val="0"/>
          <w:sz w:val="20"/>
          <w:szCs w:val="20"/>
          <w:lang w:val="en"/>
        </w:rPr>
        <w:fldChar w:fldCharType="end"/>
      </w:r>
      <w:r w:rsidR="00672E84">
        <w:rPr>
          <w:b w:val="0"/>
          <w:sz w:val="20"/>
          <w:szCs w:val="22"/>
        </w:rPr>
        <w:t xml:space="preserve"> </w:t>
      </w:r>
    </w:p>
    <w:p w14:paraId="54E9B35F" w14:textId="77777777" w:rsidR="00223591" w:rsidRDefault="00223591" w:rsidP="00721718">
      <w:pPr>
        <w:spacing w:line="240" w:lineRule="auto"/>
        <w:jc w:val="both"/>
        <w:rPr>
          <w:rStyle w:val="jlqj4b"/>
          <w:rFonts w:asciiTheme="majorBidi" w:hAnsiTheme="majorBidi" w:cstheme="majorBidi"/>
          <w:sz w:val="20"/>
          <w:szCs w:val="20"/>
          <w:lang w:val="en"/>
        </w:rPr>
      </w:pPr>
      <w:r w:rsidRPr="00223591">
        <w:rPr>
          <w:rStyle w:val="jlqj4b"/>
          <w:rFonts w:asciiTheme="majorBidi" w:hAnsiTheme="majorBidi" w:cstheme="majorBidi"/>
          <w:sz w:val="20"/>
          <w:szCs w:val="20"/>
          <w:lang w:val="en"/>
        </w:rPr>
        <w:t>While the use of descriptive analysis method aims to describe, analyze, and clarify symptoms based on observations from the study in a systematic, factual manner, regarding the facts and nature and the relationship between the phenomena being investigated.</w:t>
      </w:r>
      <w:r w:rsidRPr="00223591">
        <w:rPr>
          <w:rStyle w:val="viiyi"/>
          <w:rFonts w:asciiTheme="majorBidi" w:hAnsiTheme="majorBidi" w:cstheme="majorBidi"/>
          <w:sz w:val="20"/>
          <w:szCs w:val="20"/>
          <w:lang w:val="en"/>
        </w:rPr>
        <w:t xml:space="preserve"> </w:t>
      </w:r>
      <w:r w:rsidRPr="00223591">
        <w:rPr>
          <w:rStyle w:val="jlqj4b"/>
          <w:rFonts w:asciiTheme="majorBidi" w:hAnsiTheme="majorBidi" w:cstheme="majorBidi"/>
          <w:sz w:val="20"/>
          <w:szCs w:val="20"/>
          <w:lang w:val="en"/>
        </w:rPr>
        <w:t>In other words, it focuses more on problems as they are when the research is carried out, the results of the research are then processed and analyzed to draw conclusions so that they can be understood.</w:t>
      </w:r>
    </w:p>
    <w:p w14:paraId="249333C2" w14:textId="77777777" w:rsidR="00012542" w:rsidRPr="008A0EE5" w:rsidRDefault="00223591" w:rsidP="008A0EE5">
      <w:pPr>
        <w:spacing w:line="240" w:lineRule="auto"/>
        <w:jc w:val="both"/>
        <w:rPr>
          <w:rFonts w:asciiTheme="majorBidi" w:hAnsiTheme="majorBidi" w:cstheme="majorBidi"/>
          <w:sz w:val="20"/>
          <w:szCs w:val="20"/>
          <w:lang w:eastAsia="ja-JP"/>
        </w:rPr>
      </w:pPr>
      <w:r w:rsidRPr="00223591">
        <w:rPr>
          <w:rStyle w:val="jlqj4b"/>
          <w:rFonts w:asciiTheme="majorBidi" w:hAnsiTheme="majorBidi" w:cstheme="majorBidi"/>
          <w:sz w:val="20"/>
          <w:szCs w:val="20"/>
          <w:lang w:val="en"/>
        </w:rPr>
        <w:t>The data collection technique used by researchers was obtained through literature study.</w:t>
      </w:r>
      <w:r w:rsidRPr="00223591">
        <w:rPr>
          <w:rStyle w:val="viiyi"/>
          <w:rFonts w:asciiTheme="majorBidi" w:hAnsiTheme="majorBidi" w:cstheme="majorBidi"/>
          <w:sz w:val="20"/>
          <w:szCs w:val="20"/>
          <w:lang w:val="en"/>
        </w:rPr>
        <w:t xml:space="preserve"> </w:t>
      </w:r>
      <w:r w:rsidRPr="00223591">
        <w:rPr>
          <w:rStyle w:val="jlqj4b"/>
          <w:rFonts w:asciiTheme="majorBidi" w:hAnsiTheme="majorBidi" w:cstheme="majorBidi"/>
          <w:sz w:val="20"/>
          <w:szCs w:val="20"/>
          <w:lang w:val="en"/>
        </w:rPr>
        <w:t xml:space="preserve">Tracing data sourced from written materials, whether books, information based on literature review or good references from articles, newspapers, scientific journals, and </w:t>
      </w:r>
      <w:r w:rsidRPr="00223591">
        <w:rPr>
          <w:rStyle w:val="jlqj4b"/>
          <w:rFonts w:asciiTheme="majorBidi" w:hAnsiTheme="majorBidi" w:cstheme="majorBidi"/>
          <w:sz w:val="20"/>
          <w:szCs w:val="20"/>
          <w:lang w:val="en"/>
        </w:rPr>
        <w:t>online research pages on the internet.</w:t>
      </w:r>
      <w:r w:rsidRPr="00223591">
        <w:rPr>
          <w:rStyle w:val="viiyi"/>
          <w:rFonts w:asciiTheme="majorBidi" w:hAnsiTheme="majorBidi" w:cstheme="majorBidi"/>
          <w:sz w:val="20"/>
          <w:szCs w:val="20"/>
          <w:lang w:val="en"/>
        </w:rPr>
        <w:t xml:space="preserve"> </w:t>
      </w:r>
      <w:r w:rsidRPr="00223591">
        <w:rPr>
          <w:rStyle w:val="jlqj4b"/>
          <w:rFonts w:asciiTheme="majorBidi" w:hAnsiTheme="majorBidi" w:cstheme="majorBidi"/>
          <w:sz w:val="20"/>
          <w:szCs w:val="20"/>
          <w:lang w:val="en"/>
        </w:rPr>
        <w:t>The data analysis technique uses triangulation of data to correlate empirical data, review literature to obtain analysis results from the increase in economic growth affecting the use of e-commerce in Southeast Asia.</w:t>
      </w:r>
    </w:p>
    <w:p w14:paraId="3E3550B3" w14:textId="77777777" w:rsidR="002E5FEF" w:rsidRDefault="00900EFC" w:rsidP="002E5FEF">
      <w:pPr>
        <w:spacing w:after="0" w:line="240" w:lineRule="auto"/>
        <w:rPr>
          <w:rFonts w:ascii="Times New Roman" w:hAnsi="Times New Roman"/>
          <w:b/>
          <w:sz w:val="24"/>
          <w:lang w:eastAsia="ja-JP"/>
        </w:rPr>
      </w:pPr>
      <w:r>
        <w:rPr>
          <w:rFonts w:ascii="Times New Roman" w:hAnsi="Times New Roman"/>
          <w:b/>
          <w:sz w:val="24"/>
          <w:lang w:eastAsia="ja-JP"/>
        </w:rPr>
        <w:t>3</w:t>
      </w:r>
      <w:r w:rsidR="002E5FEF">
        <w:rPr>
          <w:rFonts w:ascii="Times New Roman" w:hAnsi="Times New Roman"/>
          <w:b/>
          <w:sz w:val="24"/>
          <w:lang w:eastAsia="ja-JP"/>
        </w:rPr>
        <w:t xml:space="preserve">. Result and Discussion </w:t>
      </w:r>
    </w:p>
    <w:p w14:paraId="1E65B7D9" w14:textId="77777777" w:rsidR="002E5FEF" w:rsidRPr="00757996" w:rsidRDefault="006B77C5" w:rsidP="00757996">
      <w:pPr>
        <w:spacing w:line="240" w:lineRule="auto"/>
        <w:rPr>
          <w:rFonts w:asciiTheme="majorBidi" w:hAnsiTheme="majorBidi" w:cstheme="majorBidi"/>
          <w:b/>
          <w:bCs/>
          <w:sz w:val="20"/>
          <w:szCs w:val="20"/>
          <w:lang w:eastAsia="ja-JP"/>
        </w:rPr>
      </w:pPr>
      <w:r>
        <w:rPr>
          <w:rFonts w:ascii="Times New Roman" w:hAnsi="Times New Roman"/>
          <w:b/>
          <w:sz w:val="24"/>
          <w:lang w:eastAsia="ja-JP"/>
        </w:rPr>
        <w:t xml:space="preserve">   </w:t>
      </w:r>
      <w:r w:rsidR="00757996" w:rsidRPr="00757996">
        <w:rPr>
          <w:rStyle w:val="jlqj4b"/>
          <w:rFonts w:asciiTheme="majorBidi" w:hAnsiTheme="majorBidi" w:cstheme="majorBidi"/>
          <w:b/>
          <w:bCs/>
          <w:sz w:val="20"/>
          <w:szCs w:val="20"/>
          <w:lang w:val="en"/>
        </w:rPr>
        <w:t>Middle Class Growth in Southeast Asia</w:t>
      </w:r>
    </w:p>
    <w:p w14:paraId="3F4ACAFC" w14:textId="77777777" w:rsidR="00B17CF9" w:rsidRDefault="00757996" w:rsidP="00721718">
      <w:pPr>
        <w:spacing w:line="240" w:lineRule="auto"/>
        <w:jc w:val="both"/>
        <w:rPr>
          <w:rFonts w:ascii="Times New Roman" w:hAnsi="Times New Roman"/>
          <w:sz w:val="20"/>
        </w:rPr>
      </w:pPr>
      <w:r w:rsidRPr="00757996">
        <w:rPr>
          <w:rStyle w:val="jlqj4b"/>
          <w:rFonts w:asciiTheme="majorBidi" w:hAnsiTheme="majorBidi" w:cstheme="majorBidi"/>
          <w:sz w:val="20"/>
          <w:szCs w:val="20"/>
          <w:lang w:val="en"/>
        </w:rPr>
        <w:t>Middle class is the term socio-economic class between the working class and the upper class.</w:t>
      </w:r>
      <w:r w:rsidRPr="00757996">
        <w:rPr>
          <w:rStyle w:val="viiyi"/>
          <w:rFonts w:asciiTheme="majorBidi" w:hAnsiTheme="majorBidi" w:cstheme="majorBidi"/>
          <w:sz w:val="20"/>
          <w:szCs w:val="20"/>
          <w:lang w:val="en"/>
        </w:rPr>
        <w:t xml:space="preserve"> </w:t>
      </w:r>
      <w:r w:rsidRPr="00757996">
        <w:rPr>
          <w:rStyle w:val="jlqj4b"/>
          <w:rFonts w:asciiTheme="majorBidi" w:hAnsiTheme="majorBidi" w:cstheme="majorBidi"/>
          <w:sz w:val="20"/>
          <w:szCs w:val="20"/>
          <w:lang w:val="en"/>
        </w:rPr>
        <w:t>Usually the middle class includes professionals, skilled workers, and lower and middle management.</w:t>
      </w:r>
      <w:r w:rsidRPr="00757996">
        <w:rPr>
          <w:rStyle w:val="viiyi"/>
          <w:rFonts w:asciiTheme="majorBidi" w:hAnsiTheme="majorBidi" w:cstheme="majorBidi"/>
          <w:sz w:val="20"/>
          <w:szCs w:val="20"/>
          <w:lang w:val="en"/>
        </w:rPr>
        <w:t xml:space="preserve"> </w:t>
      </w:r>
      <w:r w:rsidRPr="00757996">
        <w:rPr>
          <w:rStyle w:val="jlqj4b"/>
          <w:rFonts w:asciiTheme="majorBidi" w:hAnsiTheme="majorBidi" w:cstheme="majorBidi"/>
          <w:sz w:val="20"/>
          <w:szCs w:val="20"/>
          <w:lang w:val="en"/>
        </w:rPr>
        <w:t>The overall population of ASEAN countries is also not only large, but also young with less than 60% of the group under 35 years of age.</w:t>
      </w:r>
      <w:r w:rsidRPr="00757996">
        <w:rPr>
          <w:rStyle w:val="viiyi"/>
          <w:rFonts w:asciiTheme="majorBidi" w:hAnsiTheme="majorBidi" w:cstheme="majorBidi"/>
          <w:sz w:val="20"/>
          <w:szCs w:val="20"/>
          <w:lang w:val="en"/>
        </w:rPr>
        <w:t xml:space="preserve"> </w:t>
      </w:r>
      <w:r w:rsidRPr="00757996">
        <w:rPr>
          <w:rStyle w:val="jlqj4b"/>
          <w:rFonts w:asciiTheme="majorBidi" w:hAnsiTheme="majorBidi" w:cstheme="majorBidi"/>
          <w:sz w:val="20"/>
          <w:szCs w:val="20"/>
          <w:lang w:val="en"/>
        </w:rPr>
        <w:t>The working population, between the ages of 15 and 64, accounts for 65% and that proportion continues to be low</w:t>
      </w:r>
      <w:r w:rsidR="00B17CF9">
        <w:rPr>
          <w:rStyle w:val="jlqj4b"/>
          <w:rFonts w:asciiTheme="majorBidi" w:hAnsiTheme="majorBidi" w:cstheme="majorBidi"/>
          <w:sz w:val="20"/>
          <w:szCs w:val="20"/>
          <w:lang w:val="en"/>
        </w:rPr>
        <w:t xml:space="preserve">. </w:t>
      </w:r>
      <w:r w:rsidR="00B17CF9">
        <w:rPr>
          <w:rStyle w:val="jlqj4b"/>
          <w:rFonts w:asciiTheme="majorBidi" w:hAnsiTheme="majorBidi" w:cstheme="majorBidi"/>
          <w:sz w:val="20"/>
          <w:szCs w:val="20"/>
          <w:lang w:val="en"/>
        </w:rPr>
        <w:fldChar w:fldCharType="begin" w:fldLock="1"/>
      </w:r>
      <w:r w:rsidR="00721718">
        <w:rPr>
          <w:rStyle w:val="jlqj4b"/>
          <w:rFonts w:asciiTheme="majorBidi" w:hAnsiTheme="majorBidi" w:cstheme="majorBidi"/>
          <w:sz w:val="20"/>
          <w:szCs w:val="20"/>
          <w:lang w:val="en"/>
        </w:rPr>
        <w:instrText>ADDIN CSL_CITATION {"citationItems":[{"id":"ITEM-1","itemData":{"author":[{"dropping-particle":"","family":"Lee","given":"Kenix","non-dropping-particle":"","parse-names":false,"suffix":""}],"id":"ITEM-1","issued":{"date-parts":[["2016"]]},"number-of-pages":"1-6","title":"Modern Consumerism in ASEAN: An Overview","type":"report"},"uris":["http://www.mendeley.com/documents/?uuid=5b793b0f-2d3f-4a69-b08f-f56aefd36373"]}],"mendeley":{"formattedCitation":"(Lee, 2016)","plainTextFormattedCitation":"(Lee, 2016)","previouslyFormattedCitation":"(Lee, 2016)"},"properties":{"noteIndex":0},"schema":"https://github.com/citation-style-language/schema/raw/master/csl-citation.json"}</w:instrText>
      </w:r>
      <w:r w:rsidR="00B17CF9">
        <w:rPr>
          <w:rStyle w:val="jlqj4b"/>
          <w:rFonts w:asciiTheme="majorBidi" w:hAnsiTheme="majorBidi" w:cstheme="majorBidi"/>
          <w:sz w:val="20"/>
          <w:szCs w:val="20"/>
          <w:lang w:val="en"/>
        </w:rPr>
        <w:fldChar w:fldCharType="separate"/>
      </w:r>
      <w:r w:rsidR="00B17CF9" w:rsidRPr="00B17CF9">
        <w:rPr>
          <w:rStyle w:val="jlqj4b"/>
          <w:rFonts w:asciiTheme="majorBidi" w:hAnsiTheme="majorBidi" w:cstheme="majorBidi"/>
          <w:noProof/>
          <w:sz w:val="20"/>
          <w:szCs w:val="20"/>
          <w:lang w:val="en"/>
        </w:rPr>
        <w:t>(Lee, 2016)</w:t>
      </w:r>
      <w:r w:rsidR="00B17CF9">
        <w:rPr>
          <w:rStyle w:val="jlqj4b"/>
          <w:rFonts w:asciiTheme="majorBidi" w:hAnsiTheme="majorBidi" w:cstheme="majorBidi"/>
          <w:sz w:val="20"/>
          <w:szCs w:val="20"/>
          <w:lang w:val="en"/>
        </w:rPr>
        <w:fldChar w:fldCharType="end"/>
      </w:r>
      <w:r>
        <w:rPr>
          <w:rFonts w:ascii="Times New Roman" w:hAnsi="Times New Roman"/>
          <w:sz w:val="20"/>
        </w:rPr>
        <w:t xml:space="preserve"> </w:t>
      </w:r>
    </w:p>
    <w:p w14:paraId="335A0681" w14:textId="77777777" w:rsidR="00B17CF9" w:rsidRDefault="00721718" w:rsidP="00721718">
      <w:pPr>
        <w:spacing w:line="240" w:lineRule="auto"/>
        <w:jc w:val="both"/>
        <w:rPr>
          <w:rStyle w:val="jlqj4b"/>
          <w:rFonts w:asciiTheme="majorBidi" w:hAnsiTheme="majorBidi" w:cstheme="majorBidi"/>
          <w:sz w:val="20"/>
          <w:szCs w:val="20"/>
          <w:lang w:val="en"/>
        </w:rPr>
      </w:pPr>
      <w:r w:rsidRPr="00721718">
        <w:rPr>
          <w:rStyle w:val="jlqj4b"/>
          <w:rFonts w:asciiTheme="majorBidi" w:hAnsiTheme="majorBidi" w:cstheme="majorBidi"/>
          <w:sz w:val="20"/>
          <w:szCs w:val="20"/>
          <w:lang w:val="en"/>
        </w:rPr>
        <w:t>These large demographic developments have important implications for productivity and potential growth.</w:t>
      </w:r>
      <w:r w:rsidRPr="00721718">
        <w:rPr>
          <w:rStyle w:val="viiyi"/>
          <w:rFonts w:asciiTheme="majorBidi" w:hAnsiTheme="majorBidi" w:cstheme="majorBidi"/>
          <w:sz w:val="20"/>
          <w:szCs w:val="20"/>
          <w:lang w:val="en"/>
        </w:rPr>
        <w:t xml:space="preserve"> </w:t>
      </w:r>
      <w:r w:rsidRPr="00721718">
        <w:rPr>
          <w:rStyle w:val="jlqj4b"/>
          <w:rFonts w:asciiTheme="majorBidi" w:hAnsiTheme="majorBidi" w:cstheme="majorBidi"/>
          <w:sz w:val="20"/>
          <w:szCs w:val="20"/>
          <w:lang w:val="en"/>
        </w:rPr>
        <w:t>Most ASEAN countries are in the process of gaining a "demographic dividend", as younger working populations become dominant.</w:t>
      </w:r>
      <w:r w:rsidRPr="00721718">
        <w:rPr>
          <w:rStyle w:val="viiyi"/>
          <w:rFonts w:asciiTheme="majorBidi" w:hAnsiTheme="majorBidi" w:cstheme="majorBidi"/>
          <w:sz w:val="20"/>
          <w:szCs w:val="20"/>
          <w:lang w:val="en"/>
        </w:rPr>
        <w:t xml:space="preserve"> </w:t>
      </w:r>
      <w:r w:rsidRPr="00721718">
        <w:rPr>
          <w:rStyle w:val="jlqj4b"/>
          <w:rFonts w:asciiTheme="majorBidi" w:hAnsiTheme="majorBidi" w:cstheme="majorBidi"/>
          <w:sz w:val="20"/>
          <w:szCs w:val="20"/>
          <w:lang w:val="en"/>
        </w:rPr>
        <w:t>Such demographics offer a competitive supply of labor, while a low dependency ratio implies that more resources will be available for consumption and investment, providing a boost to economic growth.</w:t>
      </w:r>
      <w:r>
        <w:rPr>
          <w:rStyle w:val="jlqj4b"/>
          <w:rFonts w:asciiTheme="majorBidi" w:hAnsiTheme="majorBidi" w:cstheme="majorBidi"/>
          <w:sz w:val="20"/>
          <w:szCs w:val="20"/>
          <w:lang w:val="en"/>
        </w:rPr>
        <w:fldChar w:fldCharType="begin" w:fldLock="1"/>
      </w:r>
      <w:r w:rsidR="005F0A27">
        <w:rPr>
          <w:rStyle w:val="jlqj4b"/>
          <w:rFonts w:asciiTheme="majorBidi" w:hAnsiTheme="majorBidi" w:cstheme="majorBidi"/>
          <w:sz w:val="20"/>
          <w:szCs w:val="20"/>
          <w:lang w:val="en"/>
        </w:rPr>
        <w:instrText>ADDIN CSL_CITATION {"citationItems":[{"id":"ITEM-1","itemData":{"author":[{"dropping-particle":"","family":"Lee","given":"Kenix","non-dropping-particle":"","parse-names":false,"suffix":""}],"id":"ITEM-1","issued":{"date-parts":[["2016"]]},"number-of-pages":"1-6","title":"Modern Consumerism in ASEAN: An Overview","type":"report"},"uris":["http://www.mendeley.com/documents/?uuid=5b793b0f-2d3f-4a69-b08f-f56aefd36373"]}],"mendeley":{"formattedCitation":"(Lee, 2016)","plainTextFormattedCitation":"(Lee, 2016)","previouslyFormattedCitation":"(Lee, 2016)"},"properties":{"noteIndex":0},"schema":"https://github.com/citation-style-language/schema/raw/master/csl-citation.json"}</w:instrText>
      </w:r>
      <w:r>
        <w:rPr>
          <w:rStyle w:val="jlqj4b"/>
          <w:rFonts w:asciiTheme="majorBidi" w:hAnsiTheme="majorBidi" w:cstheme="majorBidi"/>
          <w:sz w:val="20"/>
          <w:szCs w:val="20"/>
          <w:lang w:val="en"/>
        </w:rPr>
        <w:fldChar w:fldCharType="separate"/>
      </w:r>
      <w:r w:rsidRPr="00721718">
        <w:rPr>
          <w:rStyle w:val="jlqj4b"/>
          <w:rFonts w:asciiTheme="majorBidi" w:hAnsiTheme="majorBidi" w:cstheme="majorBidi"/>
          <w:noProof/>
          <w:sz w:val="20"/>
          <w:szCs w:val="20"/>
          <w:lang w:val="en"/>
        </w:rPr>
        <w:t>(Lee, 2016)</w:t>
      </w:r>
      <w:r>
        <w:rPr>
          <w:rStyle w:val="jlqj4b"/>
          <w:rFonts w:asciiTheme="majorBidi" w:hAnsiTheme="majorBidi" w:cstheme="majorBidi"/>
          <w:sz w:val="20"/>
          <w:szCs w:val="20"/>
          <w:lang w:val="en"/>
        </w:rPr>
        <w:fldChar w:fldCharType="end"/>
      </w:r>
    </w:p>
    <w:p w14:paraId="1FB85E5A" w14:textId="77777777" w:rsidR="00721718" w:rsidRPr="00721718" w:rsidRDefault="00721718" w:rsidP="00721718">
      <w:pPr>
        <w:jc w:val="both"/>
        <w:rPr>
          <w:rFonts w:asciiTheme="majorBidi" w:hAnsiTheme="majorBidi" w:cstheme="majorBidi"/>
          <w:sz w:val="20"/>
          <w:szCs w:val="20"/>
        </w:rPr>
      </w:pPr>
      <w:r>
        <w:rPr>
          <w:noProof/>
        </w:rPr>
        <w:drawing>
          <wp:inline distT="0" distB="0" distL="0" distR="0" wp14:anchorId="0822AA32" wp14:editId="34E80732">
            <wp:extent cx="2390775" cy="2362200"/>
            <wp:effectExtent l="0" t="0" r="0" b="0"/>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F087437" w14:textId="77777777" w:rsidR="00721718" w:rsidRDefault="00721718" w:rsidP="002E5FEF">
      <w:pPr>
        <w:spacing w:after="0" w:line="240" w:lineRule="auto"/>
        <w:jc w:val="both"/>
        <w:rPr>
          <w:rStyle w:val="jlqj4b"/>
          <w:rFonts w:asciiTheme="majorBidi" w:hAnsiTheme="majorBidi" w:cstheme="majorBidi"/>
          <w:i/>
          <w:iCs/>
          <w:sz w:val="18"/>
          <w:szCs w:val="18"/>
          <w:lang w:val="en"/>
        </w:rPr>
      </w:pPr>
      <w:r w:rsidRPr="00721718">
        <w:rPr>
          <w:rStyle w:val="jlqj4b"/>
          <w:rFonts w:asciiTheme="majorBidi" w:hAnsiTheme="majorBidi" w:cstheme="majorBidi"/>
          <w:sz w:val="18"/>
          <w:szCs w:val="18"/>
          <w:lang w:val="en"/>
        </w:rPr>
        <w:t xml:space="preserve">Sources: </w:t>
      </w:r>
      <w:r w:rsidRPr="00721718">
        <w:rPr>
          <w:rStyle w:val="jlqj4b"/>
          <w:rFonts w:asciiTheme="majorBidi" w:hAnsiTheme="majorBidi" w:cstheme="majorBidi"/>
          <w:i/>
          <w:iCs/>
          <w:sz w:val="18"/>
          <w:szCs w:val="18"/>
          <w:lang w:val="en"/>
        </w:rPr>
        <w:t xml:space="preserve">The Hong Kong and Shanghai </w:t>
      </w:r>
      <w:proofErr w:type="spellStart"/>
      <w:r w:rsidRPr="00721718">
        <w:rPr>
          <w:rStyle w:val="jlqj4b"/>
          <w:rFonts w:asciiTheme="majorBidi" w:hAnsiTheme="majorBidi" w:cstheme="majorBidi"/>
          <w:i/>
          <w:iCs/>
          <w:sz w:val="18"/>
          <w:szCs w:val="18"/>
          <w:lang w:val="en"/>
        </w:rPr>
        <w:t>Bangking</w:t>
      </w:r>
      <w:proofErr w:type="spellEnd"/>
      <w:r w:rsidRPr="00721718">
        <w:rPr>
          <w:rStyle w:val="jlqj4b"/>
          <w:rFonts w:asciiTheme="majorBidi" w:hAnsiTheme="majorBidi" w:cstheme="majorBidi"/>
          <w:i/>
          <w:iCs/>
          <w:sz w:val="18"/>
          <w:szCs w:val="18"/>
          <w:lang w:val="en"/>
        </w:rPr>
        <w:t xml:space="preserve"> Corporation, Asian Development Bank, Euromonitor, and the Central Provident Fund</w:t>
      </w:r>
    </w:p>
    <w:p w14:paraId="025F53CD" w14:textId="77777777" w:rsidR="00721718" w:rsidRDefault="00721718" w:rsidP="002E5FEF">
      <w:pPr>
        <w:spacing w:after="0" w:line="240" w:lineRule="auto"/>
        <w:jc w:val="both"/>
        <w:rPr>
          <w:rStyle w:val="jlqj4b"/>
          <w:rFonts w:asciiTheme="majorBidi" w:hAnsiTheme="majorBidi" w:cstheme="majorBidi"/>
          <w:sz w:val="20"/>
          <w:szCs w:val="20"/>
          <w:lang w:val="en"/>
        </w:rPr>
      </w:pPr>
    </w:p>
    <w:p w14:paraId="1E1E8FA7" w14:textId="77777777" w:rsidR="008A0EE5" w:rsidRPr="008A0EE5" w:rsidRDefault="008A0EE5" w:rsidP="008A0EE5">
      <w:pPr>
        <w:spacing w:after="0" w:line="240" w:lineRule="auto"/>
        <w:jc w:val="both"/>
        <w:rPr>
          <w:rStyle w:val="jlqj4b"/>
          <w:rFonts w:asciiTheme="majorBidi" w:hAnsiTheme="majorBidi" w:cstheme="majorBidi"/>
          <w:sz w:val="20"/>
          <w:szCs w:val="20"/>
          <w:lang w:val="en"/>
        </w:rPr>
      </w:pPr>
      <w:r w:rsidRPr="008A0EE5">
        <w:rPr>
          <w:rStyle w:val="jlqj4b"/>
          <w:rFonts w:asciiTheme="majorBidi" w:hAnsiTheme="majorBidi" w:cstheme="majorBidi"/>
          <w:sz w:val="20"/>
          <w:szCs w:val="20"/>
          <w:lang w:val="en"/>
        </w:rPr>
        <w:lastRenderedPageBreak/>
        <w:t>The above shows the growth table for the middle class in several ASEAN countries where there is a significant increase in the middle class population that occurred in almost the six ASEAN countries.</w:t>
      </w:r>
      <w:r w:rsidRPr="008A0EE5">
        <w:rPr>
          <w:rStyle w:val="viiyi"/>
          <w:rFonts w:asciiTheme="majorBidi" w:hAnsiTheme="majorBidi" w:cstheme="majorBidi"/>
          <w:sz w:val="20"/>
          <w:szCs w:val="20"/>
          <w:lang w:val="en"/>
        </w:rPr>
        <w:t xml:space="preserve"> </w:t>
      </w:r>
      <w:r w:rsidRPr="008A0EE5">
        <w:rPr>
          <w:rStyle w:val="jlqj4b"/>
          <w:rFonts w:asciiTheme="majorBidi" w:hAnsiTheme="majorBidi" w:cstheme="majorBidi"/>
          <w:sz w:val="20"/>
          <w:szCs w:val="20"/>
          <w:lang w:val="en"/>
        </w:rPr>
        <w:t>This growth is the capital for increasing the competitiveness of the e-commerce market for both startups and consumers in the Southeast Asia region.</w:t>
      </w:r>
    </w:p>
    <w:p w14:paraId="1579CBA5" w14:textId="77777777" w:rsidR="008A0EE5" w:rsidRDefault="008A0EE5" w:rsidP="008A0EE5">
      <w:pPr>
        <w:spacing w:after="0" w:line="240" w:lineRule="auto"/>
        <w:jc w:val="both"/>
        <w:rPr>
          <w:rStyle w:val="jlqj4b"/>
          <w:rFonts w:asciiTheme="majorBidi" w:hAnsiTheme="majorBidi" w:cstheme="majorBidi"/>
          <w:sz w:val="20"/>
          <w:szCs w:val="20"/>
          <w:lang w:val="en"/>
        </w:rPr>
      </w:pPr>
      <w:r w:rsidRPr="008A0EE5">
        <w:rPr>
          <w:rStyle w:val="jlqj4b"/>
          <w:rFonts w:asciiTheme="majorBidi" w:hAnsiTheme="majorBidi" w:cstheme="majorBidi"/>
          <w:sz w:val="20"/>
          <w:szCs w:val="20"/>
          <w:lang w:val="en"/>
        </w:rPr>
        <w:t>During its development, the payment system, which is one of the pillars of support for financial system stability, has developed rapidly in line with technological developments.</w:t>
      </w:r>
      <w:r w:rsidRPr="008A0EE5">
        <w:rPr>
          <w:rStyle w:val="viiyi"/>
          <w:rFonts w:asciiTheme="majorBidi" w:hAnsiTheme="majorBidi" w:cstheme="majorBidi"/>
          <w:sz w:val="20"/>
          <w:szCs w:val="20"/>
          <w:lang w:val="en"/>
        </w:rPr>
        <w:t xml:space="preserve"> </w:t>
      </w:r>
      <w:r w:rsidRPr="008A0EE5">
        <w:rPr>
          <w:rStyle w:val="jlqj4b"/>
          <w:rFonts w:asciiTheme="majorBidi" w:hAnsiTheme="majorBidi" w:cstheme="majorBidi"/>
          <w:sz w:val="20"/>
          <w:szCs w:val="20"/>
          <w:lang w:val="en"/>
        </w:rPr>
        <w:t>On the other hand, technological developments have also stimulated the development of payment ins</w:t>
      </w:r>
      <w:r w:rsidR="00A910AA">
        <w:rPr>
          <w:rStyle w:val="jlqj4b"/>
          <w:rFonts w:asciiTheme="majorBidi" w:hAnsiTheme="majorBidi" w:cstheme="majorBidi"/>
          <w:sz w:val="20"/>
          <w:szCs w:val="20"/>
          <w:lang w:val="en"/>
        </w:rPr>
        <w:t>truments from cash based to non-</w:t>
      </w:r>
      <w:r w:rsidRPr="008A0EE5">
        <w:rPr>
          <w:rStyle w:val="jlqj4b"/>
          <w:rFonts w:asciiTheme="majorBidi" w:hAnsiTheme="majorBidi" w:cstheme="majorBidi"/>
          <w:sz w:val="20"/>
          <w:szCs w:val="20"/>
          <w:lang w:val="en"/>
        </w:rPr>
        <w:t>cash based.</w:t>
      </w:r>
      <w:r w:rsidRPr="008A0EE5">
        <w:rPr>
          <w:rStyle w:val="viiyi"/>
          <w:rFonts w:asciiTheme="majorBidi" w:hAnsiTheme="majorBidi" w:cstheme="majorBidi"/>
          <w:sz w:val="20"/>
          <w:szCs w:val="20"/>
          <w:lang w:val="en"/>
        </w:rPr>
        <w:t xml:space="preserve"> </w:t>
      </w:r>
      <w:r w:rsidRPr="008A0EE5">
        <w:rPr>
          <w:rStyle w:val="jlqj4b"/>
          <w:rFonts w:asciiTheme="majorBidi" w:hAnsiTheme="majorBidi" w:cstheme="majorBidi"/>
          <w:sz w:val="20"/>
          <w:szCs w:val="20"/>
          <w:lang w:val="en"/>
        </w:rPr>
        <w:t>Furthermore, this non cash based instrument has become so sophisticated that it is no longer paper based but has</w:t>
      </w:r>
      <w:r>
        <w:rPr>
          <w:rStyle w:val="jlqj4b"/>
          <w:lang w:val="en"/>
        </w:rPr>
        <w:t xml:space="preserve"> </w:t>
      </w:r>
      <w:r w:rsidRPr="008A0EE5">
        <w:rPr>
          <w:rStyle w:val="jlqj4b"/>
          <w:rFonts w:asciiTheme="majorBidi" w:hAnsiTheme="majorBidi" w:cstheme="majorBidi"/>
          <w:sz w:val="20"/>
          <w:szCs w:val="20"/>
          <w:lang w:val="en"/>
        </w:rPr>
        <w:t>evolved into a paperless form.</w:t>
      </w:r>
      <w:r w:rsidRPr="008A0EE5">
        <w:rPr>
          <w:rStyle w:val="viiyi"/>
          <w:rFonts w:asciiTheme="majorBidi" w:hAnsiTheme="majorBidi" w:cstheme="majorBidi"/>
          <w:sz w:val="20"/>
          <w:szCs w:val="20"/>
          <w:lang w:val="en"/>
        </w:rPr>
        <w:t xml:space="preserve"> </w:t>
      </w:r>
      <w:r w:rsidRPr="008A0EE5">
        <w:rPr>
          <w:rStyle w:val="jlqj4b"/>
          <w:rFonts w:asciiTheme="majorBidi" w:hAnsiTheme="majorBidi" w:cstheme="majorBidi"/>
          <w:sz w:val="20"/>
          <w:szCs w:val="20"/>
          <w:lang w:val="en"/>
        </w:rPr>
        <w:t>Of course, paperless payment instruments require</w:t>
      </w:r>
      <w:r>
        <w:rPr>
          <w:rStyle w:val="jlqj4b"/>
          <w:lang w:val="en"/>
        </w:rPr>
        <w:t xml:space="preserve"> </w:t>
      </w:r>
      <w:r w:rsidRPr="008A0EE5">
        <w:rPr>
          <w:rStyle w:val="jlqj4b"/>
          <w:rFonts w:asciiTheme="majorBidi" w:hAnsiTheme="majorBidi" w:cstheme="majorBidi"/>
          <w:sz w:val="20"/>
          <w:szCs w:val="20"/>
          <w:lang w:val="en"/>
        </w:rPr>
        <w:t>high technology infrastructure and also a legal regime that is different from paper-based payment instruments.</w:t>
      </w:r>
    </w:p>
    <w:p w14:paraId="7C86387A" w14:textId="77777777" w:rsidR="008A0EE5" w:rsidRDefault="008A0EE5" w:rsidP="008A0EE5">
      <w:pPr>
        <w:spacing w:after="0" w:line="240" w:lineRule="auto"/>
        <w:jc w:val="both"/>
        <w:rPr>
          <w:rStyle w:val="jlqj4b"/>
          <w:rFonts w:asciiTheme="majorBidi" w:hAnsiTheme="majorBidi" w:cstheme="majorBidi"/>
          <w:sz w:val="20"/>
          <w:szCs w:val="20"/>
          <w:lang w:val="en"/>
        </w:rPr>
      </w:pPr>
    </w:p>
    <w:p w14:paraId="4431A1B9" w14:textId="77777777" w:rsidR="008A0EE5" w:rsidRDefault="008A0EE5" w:rsidP="008A0EE5">
      <w:pPr>
        <w:spacing w:after="0" w:line="240" w:lineRule="auto"/>
        <w:jc w:val="both"/>
        <w:rPr>
          <w:rStyle w:val="jlqj4b"/>
          <w:lang w:val="en"/>
        </w:rPr>
      </w:pPr>
      <w:r w:rsidRPr="008A0EE5">
        <w:rPr>
          <w:rStyle w:val="jlqj4b"/>
          <w:rFonts w:asciiTheme="majorBidi" w:hAnsiTheme="majorBidi" w:cstheme="majorBidi"/>
          <w:b/>
          <w:bCs/>
          <w:sz w:val="20"/>
          <w:szCs w:val="20"/>
          <w:lang w:val="en"/>
        </w:rPr>
        <w:t>Development of E-Commerce in Southeast Asia</w:t>
      </w:r>
      <w:r>
        <w:rPr>
          <w:rStyle w:val="jlqj4b"/>
          <w:lang w:val="en"/>
        </w:rPr>
        <w:t xml:space="preserve"> </w:t>
      </w:r>
    </w:p>
    <w:p w14:paraId="3F16045C" w14:textId="77777777" w:rsidR="008A0EE5" w:rsidRDefault="008A0EE5" w:rsidP="008A0EE5">
      <w:pPr>
        <w:spacing w:after="0" w:line="240" w:lineRule="auto"/>
        <w:jc w:val="both"/>
        <w:rPr>
          <w:rStyle w:val="jlqj4b"/>
          <w:rFonts w:asciiTheme="majorBidi" w:hAnsiTheme="majorBidi" w:cstheme="majorBidi"/>
          <w:sz w:val="20"/>
          <w:szCs w:val="20"/>
          <w:lang w:val="en"/>
        </w:rPr>
      </w:pPr>
      <w:r w:rsidRPr="008A0EE5">
        <w:rPr>
          <w:rStyle w:val="jlqj4b"/>
          <w:rFonts w:asciiTheme="majorBidi" w:hAnsiTheme="majorBidi" w:cstheme="majorBidi"/>
          <w:sz w:val="20"/>
          <w:szCs w:val="20"/>
          <w:lang w:val="en"/>
        </w:rPr>
        <w:t>With the third largest population in the world and relatively low but growing Internet connectivity, Southeast Asia is a new market for e-commerce.</w:t>
      </w:r>
      <w:r w:rsidRPr="008A0EE5">
        <w:rPr>
          <w:rStyle w:val="viiyi"/>
          <w:rFonts w:asciiTheme="majorBidi" w:hAnsiTheme="majorBidi" w:cstheme="majorBidi"/>
          <w:sz w:val="20"/>
          <w:szCs w:val="20"/>
          <w:lang w:val="en"/>
        </w:rPr>
        <w:t xml:space="preserve"> </w:t>
      </w:r>
      <w:r w:rsidRPr="008A0EE5">
        <w:rPr>
          <w:rStyle w:val="jlqj4b"/>
          <w:rFonts w:asciiTheme="majorBidi" w:hAnsiTheme="majorBidi" w:cstheme="majorBidi"/>
          <w:sz w:val="20"/>
          <w:szCs w:val="20"/>
          <w:lang w:val="en"/>
        </w:rPr>
        <w:t>Still in its infancy, the ASEAN e-commerce market presents many growth opportunities for businesses.</w:t>
      </w:r>
      <w:r w:rsidRPr="008A0EE5">
        <w:rPr>
          <w:rStyle w:val="viiyi"/>
          <w:rFonts w:asciiTheme="majorBidi" w:hAnsiTheme="majorBidi" w:cstheme="majorBidi"/>
          <w:sz w:val="20"/>
          <w:szCs w:val="20"/>
          <w:lang w:val="en"/>
        </w:rPr>
        <w:t xml:space="preserve"> </w:t>
      </w:r>
      <w:r w:rsidRPr="008A0EE5">
        <w:rPr>
          <w:rStyle w:val="jlqj4b"/>
          <w:rFonts w:asciiTheme="majorBidi" w:hAnsiTheme="majorBidi" w:cstheme="majorBidi"/>
          <w:sz w:val="20"/>
          <w:szCs w:val="20"/>
          <w:lang w:val="en"/>
        </w:rPr>
        <w:t>Southeast Asia is currently a very attractive market for companies involved globally in the e-commerce sector and smaller local players.</w:t>
      </w:r>
      <w:r w:rsidRPr="008A0EE5">
        <w:rPr>
          <w:rStyle w:val="viiyi"/>
          <w:rFonts w:asciiTheme="majorBidi" w:hAnsiTheme="majorBidi" w:cstheme="majorBidi"/>
          <w:sz w:val="20"/>
          <w:szCs w:val="20"/>
          <w:lang w:val="en"/>
        </w:rPr>
        <w:t xml:space="preserve"> </w:t>
      </w:r>
      <w:r w:rsidRPr="008A0EE5">
        <w:rPr>
          <w:rStyle w:val="jlqj4b"/>
          <w:rFonts w:asciiTheme="majorBidi" w:hAnsiTheme="majorBidi" w:cstheme="majorBidi"/>
          <w:sz w:val="20"/>
          <w:szCs w:val="20"/>
          <w:lang w:val="en"/>
        </w:rPr>
        <w:t>In terms of internet and mobile penetration, Southeast Asian</w:t>
      </w:r>
      <w:r w:rsidR="005F0A27">
        <w:rPr>
          <w:rStyle w:val="jlqj4b"/>
          <w:rFonts w:asciiTheme="majorBidi" w:hAnsiTheme="majorBidi" w:cstheme="majorBidi"/>
          <w:sz w:val="20"/>
          <w:szCs w:val="20"/>
          <w:lang w:val="en"/>
        </w:rPr>
        <w:t xml:space="preserve"> </w:t>
      </w:r>
      <w:r w:rsidR="005F0A27">
        <w:rPr>
          <w:rStyle w:val="jlqj4b"/>
          <w:rFonts w:asciiTheme="majorBidi" w:hAnsiTheme="majorBidi" w:cstheme="majorBidi"/>
          <w:sz w:val="20"/>
          <w:szCs w:val="20"/>
          <w:lang w:val="en"/>
        </w:rPr>
        <w:fldChar w:fldCharType="begin" w:fldLock="1"/>
      </w:r>
      <w:r w:rsidR="00A910AA">
        <w:rPr>
          <w:rStyle w:val="jlqj4b"/>
          <w:rFonts w:asciiTheme="majorBidi" w:hAnsiTheme="majorBidi" w:cstheme="majorBidi"/>
          <w:sz w:val="20"/>
          <w:szCs w:val="20"/>
          <w:lang w:val="en"/>
        </w:rPr>
        <w:instrText>ADDIN CSL_CITATION {"citationItems":[{"id":"ITEM-1","itemData":{"author":[{"dropping-particle":"","family":"Fanzyl","given":"Adrian","non-dropping-particle":"","parse-names":false,"suffix":""}],"id":"ITEM-1","issued":{"date-parts":[["2016"]]},"title":"Overview of e-commerce in Southeast Asia","type":"report"},"uris":["http://www.mendeley.com/documents/?uuid=35306519-ea3e-4072-9495-1887983de160"]}],"mendeley":{"formattedCitation":"(Fanzyl, 2016)","plainTextFormattedCitation":"(Fanzyl, 2016)","previouslyFormattedCitation":"(Fanzyl, 2016)"},"properties":{"noteIndex":0},"schema":"https://github.com/citation-style-language/schema/raw/master/csl-citation.json"}</w:instrText>
      </w:r>
      <w:r w:rsidR="005F0A27">
        <w:rPr>
          <w:rStyle w:val="jlqj4b"/>
          <w:rFonts w:asciiTheme="majorBidi" w:hAnsiTheme="majorBidi" w:cstheme="majorBidi"/>
          <w:sz w:val="20"/>
          <w:szCs w:val="20"/>
          <w:lang w:val="en"/>
        </w:rPr>
        <w:fldChar w:fldCharType="separate"/>
      </w:r>
      <w:r w:rsidR="005F0A27" w:rsidRPr="005F0A27">
        <w:rPr>
          <w:rStyle w:val="jlqj4b"/>
          <w:rFonts w:asciiTheme="majorBidi" w:hAnsiTheme="majorBidi" w:cstheme="majorBidi"/>
          <w:noProof/>
          <w:sz w:val="20"/>
          <w:szCs w:val="20"/>
          <w:lang w:val="en"/>
        </w:rPr>
        <w:t>(Fanzyl, 2016)</w:t>
      </w:r>
      <w:r w:rsidR="005F0A27">
        <w:rPr>
          <w:rStyle w:val="jlqj4b"/>
          <w:rFonts w:asciiTheme="majorBidi" w:hAnsiTheme="majorBidi" w:cstheme="majorBidi"/>
          <w:sz w:val="20"/>
          <w:szCs w:val="20"/>
          <w:lang w:val="en"/>
        </w:rPr>
        <w:fldChar w:fldCharType="end"/>
      </w:r>
      <w:r w:rsidR="005F0A27">
        <w:rPr>
          <w:rStyle w:val="jlqj4b"/>
          <w:rFonts w:asciiTheme="majorBidi" w:hAnsiTheme="majorBidi" w:cstheme="majorBidi"/>
          <w:sz w:val="20"/>
          <w:szCs w:val="20"/>
          <w:lang w:val="en"/>
        </w:rPr>
        <w:t xml:space="preserve"> </w:t>
      </w:r>
      <w:r w:rsidRPr="008A0EE5">
        <w:rPr>
          <w:rStyle w:val="jlqj4b"/>
          <w:rFonts w:asciiTheme="majorBidi" w:hAnsiTheme="majorBidi" w:cstheme="majorBidi"/>
          <w:sz w:val="20"/>
          <w:szCs w:val="20"/>
          <w:lang w:val="en"/>
        </w:rPr>
        <w:t xml:space="preserve"> populations are rapidly adjusting their behavior to take advantage of the new opportunities available to purchase products and services online.</w:t>
      </w:r>
      <w:r w:rsidR="005F0A27">
        <w:rPr>
          <w:rStyle w:val="jlqj4b"/>
          <w:rFonts w:asciiTheme="majorBidi" w:hAnsiTheme="majorBidi" w:cstheme="majorBidi"/>
          <w:sz w:val="20"/>
          <w:szCs w:val="20"/>
          <w:lang w:val="en"/>
        </w:rPr>
        <w:t xml:space="preserve"> </w:t>
      </w:r>
    </w:p>
    <w:p w14:paraId="4AB20235" w14:textId="77777777" w:rsidR="005F0A27" w:rsidRDefault="005F0A27" w:rsidP="008A0EE5">
      <w:pPr>
        <w:spacing w:after="0" w:line="240" w:lineRule="auto"/>
        <w:jc w:val="both"/>
        <w:rPr>
          <w:rStyle w:val="jlqj4b"/>
          <w:rFonts w:asciiTheme="majorBidi" w:hAnsiTheme="majorBidi" w:cstheme="majorBidi"/>
          <w:sz w:val="20"/>
          <w:szCs w:val="20"/>
          <w:lang w:val="en"/>
        </w:rPr>
      </w:pPr>
    </w:p>
    <w:p w14:paraId="2A0B7B5B" w14:textId="77777777" w:rsidR="005F0A27" w:rsidRPr="008A0EE5" w:rsidRDefault="005F0A27" w:rsidP="008A0EE5">
      <w:pPr>
        <w:spacing w:after="0" w:line="240" w:lineRule="auto"/>
        <w:jc w:val="both"/>
        <w:rPr>
          <w:rStyle w:val="jlqj4b"/>
          <w:rFonts w:asciiTheme="majorBidi" w:hAnsiTheme="majorBidi" w:cstheme="majorBidi"/>
          <w:sz w:val="20"/>
          <w:szCs w:val="20"/>
          <w:lang w:val="en"/>
        </w:rPr>
      </w:pPr>
      <w:r>
        <w:rPr>
          <w:noProof/>
        </w:rPr>
        <w:drawing>
          <wp:inline distT="0" distB="0" distL="0" distR="0" wp14:anchorId="4468EA7F" wp14:editId="07F8E21B">
            <wp:extent cx="2324100" cy="2825933"/>
            <wp:effectExtent l="0" t="0" r="0" b="0"/>
            <wp:docPr id="6" name="Picture 6" descr="ASEAN-6 digital population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EAN-6 digital population 20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27640" cy="2830237"/>
                    </a:xfrm>
                    <a:prstGeom prst="rect">
                      <a:avLst/>
                    </a:prstGeom>
                    <a:noFill/>
                    <a:ln>
                      <a:noFill/>
                    </a:ln>
                  </pic:spPr>
                </pic:pic>
              </a:graphicData>
            </a:graphic>
          </wp:inline>
        </w:drawing>
      </w:r>
    </w:p>
    <w:p w14:paraId="15880C35" w14:textId="77777777" w:rsidR="00721718" w:rsidRDefault="00721718" w:rsidP="002E5FEF">
      <w:pPr>
        <w:spacing w:after="0" w:line="240" w:lineRule="auto"/>
        <w:jc w:val="both"/>
        <w:rPr>
          <w:rFonts w:asciiTheme="majorBidi" w:hAnsiTheme="majorBidi" w:cstheme="majorBidi"/>
          <w:bCs/>
          <w:sz w:val="18"/>
          <w:szCs w:val="18"/>
        </w:rPr>
      </w:pPr>
    </w:p>
    <w:p w14:paraId="1F48FEEF" w14:textId="77777777" w:rsidR="006332A1" w:rsidRDefault="00E17A2B" w:rsidP="002E5FEF">
      <w:pPr>
        <w:spacing w:after="0" w:line="240" w:lineRule="auto"/>
        <w:jc w:val="both"/>
        <w:rPr>
          <w:rStyle w:val="jlqj4b"/>
          <w:rFonts w:asciiTheme="majorBidi" w:hAnsiTheme="majorBidi" w:cstheme="majorBidi"/>
          <w:sz w:val="20"/>
          <w:szCs w:val="20"/>
          <w:lang w:val="en"/>
        </w:rPr>
      </w:pPr>
      <w:r w:rsidRPr="00E17A2B">
        <w:rPr>
          <w:rStyle w:val="jlqj4b"/>
          <w:rFonts w:asciiTheme="majorBidi" w:hAnsiTheme="majorBidi" w:cstheme="majorBidi"/>
          <w:sz w:val="20"/>
          <w:szCs w:val="20"/>
          <w:lang w:val="en"/>
        </w:rPr>
        <w:t>The growth of the middle class in ASEAN is directly proportional to the growth of e-commerce in several ASEAN countries above which has also experienced a significant increase in the development of e-commerce in the Southeast Asia region. This is influenced by the high demand and trend towards buying and selling transactions as well as internet / web-based electronic payment systems which have become a new lifestyle for the middle class in Southeast Asia. E-commerce in Southeast Asia seems to follow the same pattern even though it seems overlapping because everything happens simultaneously in a short time. Even so, cur</w:t>
      </w:r>
      <w:r w:rsidR="00A910AA">
        <w:rPr>
          <w:rStyle w:val="jlqj4b"/>
          <w:rFonts w:asciiTheme="majorBidi" w:hAnsiTheme="majorBidi" w:cstheme="majorBidi"/>
          <w:sz w:val="20"/>
          <w:szCs w:val="20"/>
          <w:lang w:val="en"/>
        </w:rPr>
        <w:t>rently B2C (Business to Consumers</w:t>
      </w:r>
      <w:r w:rsidRPr="00E17A2B">
        <w:rPr>
          <w:rStyle w:val="jlqj4b"/>
          <w:rFonts w:asciiTheme="majorBidi" w:hAnsiTheme="majorBidi" w:cstheme="majorBidi"/>
          <w:sz w:val="20"/>
          <w:szCs w:val="20"/>
          <w:lang w:val="en"/>
        </w:rPr>
        <w:t xml:space="preserve"> is e-businesses in direct services to consumers through goods or services) still controls or dominates the world of e-commerce in Southeast Asia, especially B2C which sells third party brands. The e-commerce pattern in Southeast Asia will evolve into Brand.com. Basically, Brand.com is not much different from B2C marketplaces like Lazada or Zalora, it's just that Brand.com is an independent brand site </w:t>
      </w:r>
      <w:r w:rsidR="00A910AA">
        <w:rPr>
          <w:rStyle w:val="jlqj4b"/>
          <w:rFonts w:asciiTheme="majorBidi" w:hAnsiTheme="majorBidi" w:cstheme="majorBidi"/>
          <w:sz w:val="20"/>
          <w:szCs w:val="20"/>
          <w:lang w:val="en"/>
        </w:rPr>
        <w:t>like Estee Lauder and Bur</w:t>
      </w:r>
      <w:r w:rsidRPr="00E17A2B">
        <w:rPr>
          <w:rStyle w:val="jlqj4b"/>
          <w:rFonts w:asciiTheme="majorBidi" w:hAnsiTheme="majorBidi" w:cstheme="majorBidi"/>
          <w:sz w:val="20"/>
          <w:szCs w:val="20"/>
          <w:lang w:val="en"/>
        </w:rPr>
        <w:t>berry</w:t>
      </w:r>
      <w:r>
        <w:rPr>
          <w:rStyle w:val="jlqj4b"/>
          <w:rFonts w:asciiTheme="majorBidi" w:hAnsiTheme="majorBidi" w:cstheme="majorBidi"/>
          <w:sz w:val="20"/>
          <w:szCs w:val="20"/>
          <w:lang w:val="en"/>
        </w:rPr>
        <w:t>.</w:t>
      </w:r>
      <w:r w:rsidR="00A910AA">
        <w:rPr>
          <w:rStyle w:val="jlqj4b"/>
          <w:rFonts w:asciiTheme="majorBidi" w:hAnsiTheme="majorBidi" w:cstheme="majorBidi"/>
          <w:sz w:val="20"/>
          <w:szCs w:val="20"/>
          <w:lang w:val="en"/>
        </w:rPr>
        <w:t xml:space="preserve"> </w:t>
      </w:r>
      <w:r w:rsidR="00A910AA">
        <w:rPr>
          <w:rStyle w:val="jlqj4b"/>
          <w:rFonts w:asciiTheme="majorBidi" w:hAnsiTheme="majorBidi" w:cstheme="majorBidi"/>
          <w:sz w:val="20"/>
          <w:szCs w:val="20"/>
          <w:lang w:val="en"/>
        </w:rPr>
        <w:fldChar w:fldCharType="begin" w:fldLock="1"/>
      </w:r>
      <w:r w:rsidR="00A910AA">
        <w:rPr>
          <w:rStyle w:val="jlqj4b"/>
          <w:rFonts w:asciiTheme="majorBidi" w:hAnsiTheme="majorBidi" w:cstheme="majorBidi"/>
          <w:sz w:val="20"/>
          <w:szCs w:val="20"/>
          <w:lang w:val="en"/>
        </w:rPr>
        <w:instrText>ADDIN CSL_CITATION {"citationItems":[{"id":"ITEM-1","itemData":{"abstract":"Perjalanan (journey) dari sebuah startup tidak terlepas dari beberapa komponen yang mendukung perkembangannya, mulai dari fase ideation hingga scale up atau dalam terminologi Lean Startup Methodology (Steve Blank) dari fase Customer Discovery, Customer Validation, Customer Creation, hingga Company Building. Buku Mapping dan Database Startup Indonesia 2018 ini merupakan bahan awal dari pembangunan ekosistem startup. Dengan ketersediaan hasil pemetaan kondisi serta data jumlah dan sebaran tech startup di seluruh Indonesia, berarti tersedia acuan dalam membangun ekosistem startup di tanah air. Akan dapat ditentukan berapa banyak dan di mana saja perlu dibangun Inkubator dan Akselerator, talenta apa saja yang harus dihasilkan dari Perguruan Tinggi di kota tertentu, bagaimana kebijakan dalam investasi termasuk insentif yang harus dirancang. Selain itu, penting juga untuk membentuk jaringan mentor yang akan melakukan pendampingan para startup. Serta tentu menyelesaikan salah satu tantangan utama, yaitu ketersediaan dan peningkatan kualitas talenta. Dari","author":[{"dropping-particle":"","family":"Zaky","given":"M. Andy","non-dropping-particle":"","parse-names":false,"suffix":""},{"dropping-particle":"","family":"Nuzar","given":"Irwansyah","non-dropping-particle":"","parse-names":false,"suffix":""},{"dropping-particle":"","family":"Saputro","given":"Wahyu Eko","non-dropping-particle":"","parse-names":false,"suffix":""},{"dropping-particle":"","family":"Praysuta","given":"Bayu Dewanda Setyabudi","non-dropping-particle":"","parse-names":false,"suffix":""},{"dropping-particle":"","family":"Wijaya","given":"Sonny Bangkit","non-dropping-particle":"","parse-names":false,"suffix":""},{"dropping-particle":"","family":"Riswan","given":"Muhammad","non-dropping-particle":"","parse-names":false,"suffix":""}],"container-title":"Badan Ekonomi Kreatif","id":"ITEM-1","issued":{"date-parts":[["2018"]]},"page":"1-202","title":"Mapping &amp; Database Startup Indonesia 2018","type":"article-journal"},"uris":["http://www.mendeley.com/documents/?uuid=5760a635-981c-4a91-9f26-7c4396dcfd76"]}],"mendeley":{"formattedCitation":"(Zaky et al., 2018)","plainTextFormattedCitation":"(Zaky et al., 2018)","previouslyFormattedCitation":"(Zaky et al., 2018)"},"properties":{"noteIndex":0},"schema":"https://github.com/citation-style-language/schema/raw/master/csl-citation.json"}</w:instrText>
      </w:r>
      <w:r w:rsidR="00A910AA">
        <w:rPr>
          <w:rStyle w:val="jlqj4b"/>
          <w:rFonts w:asciiTheme="majorBidi" w:hAnsiTheme="majorBidi" w:cstheme="majorBidi"/>
          <w:sz w:val="20"/>
          <w:szCs w:val="20"/>
          <w:lang w:val="en"/>
        </w:rPr>
        <w:fldChar w:fldCharType="separate"/>
      </w:r>
      <w:r w:rsidR="00A910AA" w:rsidRPr="00A910AA">
        <w:rPr>
          <w:rStyle w:val="jlqj4b"/>
          <w:rFonts w:asciiTheme="majorBidi" w:hAnsiTheme="majorBidi" w:cstheme="majorBidi"/>
          <w:noProof/>
          <w:sz w:val="20"/>
          <w:szCs w:val="20"/>
          <w:lang w:val="en"/>
        </w:rPr>
        <w:t>(Zaky et al., 2018)</w:t>
      </w:r>
      <w:r w:rsidR="00A910AA">
        <w:rPr>
          <w:rStyle w:val="jlqj4b"/>
          <w:rFonts w:asciiTheme="majorBidi" w:hAnsiTheme="majorBidi" w:cstheme="majorBidi"/>
          <w:sz w:val="20"/>
          <w:szCs w:val="20"/>
          <w:lang w:val="en"/>
        </w:rPr>
        <w:fldChar w:fldCharType="end"/>
      </w:r>
    </w:p>
    <w:p w14:paraId="4E68DAB5" w14:textId="77777777" w:rsidR="00A910AA" w:rsidRDefault="00A910AA" w:rsidP="00A910AA">
      <w:pPr>
        <w:spacing w:after="0" w:line="240" w:lineRule="auto"/>
        <w:jc w:val="both"/>
        <w:rPr>
          <w:rStyle w:val="jlqj4b"/>
          <w:rFonts w:asciiTheme="majorBidi" w:hAnsiTheme="majorBidi" w:cstheme="majorBidi"/>
          <w:sz w:val="20"/>
          <w:szCs w:val="20"/>
          <w:lang w:val="en"/>
        </w:rPr>
      </w:pPr>
      <w:r w:rsidRPr="00A910AA">
        <w:rPr>
          <w:rStyle w:val="jlqj4b"/>
          <w:rFonts w:asciiTheme="majorBidi" w:hAnsiTheme="majorBidi" w:cstheme="majorBidi"/>
          <w:sz w:val="20"/>
          <w:szCs w:val="20"/>
          <w:lang w:val="en"/>
        </w:rPr>
        <w:t>With 600 million people, a growing middle class and increasing internet penetration, Southeast Asia is often seen as the next goldfield for e-commerce.</w:t>
      </w:r>
      <w:r w:rsidRPr="00A910AA">
        <w:rPr>
          <w:rStyle w:val="viiyi"/>
          <w:rFonts w:asciiTheme="majorBidi" w:hAnsiTheme="majorBidi" w:cstheme="majorBidi"/>
          <w:sz w:val="20"/>
          <w:szCs w:val="20"/>
          <w:lang w:val="en"/>
        </w:rPr>
        <w:t xml:space="preserve"> </w:t>
      </w:r>
      <w:r w:rsidRPr="00A910AA">
        <w:rPr>
          <w:rStyle w:val="jlqj4b"/>
          <w:rFonts w:asciiTheme="majorBidi" w:hAnsiTheme="majorBidi" w:cstheme="majorBidi"/>
          <w:sz w:val="20"/>
          <w:szCs w:val="20"/>
          <w:lang w:val="en"/>
        </w:rPr>
        <w:t xml:space="preserve">The size of the ASEAN B2C e-commerce market is small but fast growing, with CAGR (Compound Annual Growth Rate) is a business and </w:t>
      </w:r>
      <w:r>
        <w:rPr>
          <w:rStyle w:val="jlqj4b"/>
          <w:rFonts w:asciiTheme="majorBidi" w:hAnsiTheme="majorBidi" w:cstheme="majorBidi"/>
          <w:sz w:val="20"/>
          <w:szCs w:val="20"/>
          <w:lang w:val="en"/>
        </w:rPr>
        <w:lastRenderedPageBreak/>
        <w:t>investment concept that smooth</w:t>
      </w:r>
      <w:r w:rsidRPr="00A910AA">
        <w:rPr>
          <w:rStyle w:val="jlqj4b"/>
          <w:rFonts w:asciiTheme="majorBidi" w:hAnsiTheme="majorBidi" w:cstheme="majorBidi"/>
          <w:sz w:val="20"/>
          <w:szCs w:val="20"/>
          <w:lang w:val="en"/>
        </w:rPr>
        <w:t xml:space="preserve"> the annual growth of investment or business in a period.</w:t>
      </w:r>
      <w:r w:rsidRPr="00A910AA">
        <w:rPr>
          <w:rStyle w:val="viiyi"/>
          <w:rFonts w:asciiTheme="majorBidi" w:hAnsiTheme="majorBidi" w:cstheme="majorBidi"/>
          <w:sz w:val="20"/>
          <w:szCs w:val="20"/>
          <w:lang w:val="en"/>
        </w:rPr>
        <w:t xml:space="preserve"> </w:t>
      </w:r>
      <w:r w:rsidRPr="00A910AA">
        <w:rPr>
          <w:rStyle w:val="jlqj4b"/>
          <w:rFonts w:asciiTheme="majorBidi" w:hAnsiTheme="majorBidi" w:cstheme="majorBidi"/>
          <w:sz w:val="20"/>
          <w:szCs w:val="20"/>
          <w:lang w:val="en"/>
        </w:rPr>
        <w:t>The simple concept of CAGR is to view growth year after year at a smooth pace, thus ignoring volatility or changes in growth.</w:t>
      </w:r>
      <w:r w:rsidRPr="00A910AA">
        <w:rPr>
          <w:rStyle w:val="viiyi"/>
          <w:rFonts w:asciiTheme="majorBidi" w:hAnsiTheme="majorBidi" w:cstheme="majorBidi"/>
          <w:sz w:val="20"/>
          <w:szCs w:val="20"/>
          <w:lang w:val="en"/>
        </w:rPr>
        <w:t xml:space="preserve"> </w:t>
      </w:r>
      <w:r w:rsidRPr="00A910AA">
        <w:rPr>
          <w:rStyle w:val="jlqj4b"/>
          <w:rFonts w:asciiTheme="majorBidi" w:hAnsiTheme="majorBidi" w:cstheme="majorBidi"/>
          <w:sz w:val="20"/>
          <w:szCs w:val="20"/>
          <w:lang w:val="en"/>
        </w:rPr>
        <w:t xml:space="preserve">Of the </w:t>
      </w:r>
      <w:r>
        <w:rPr>
          <w:rStyle w:val="jlqj4b"/>
          <w:rFonts w:asciiTheme="majorBidi" w:hAnsiTheme="majorBidi" w:cstheme="majorBidi"/>
          <w:sz w:val="20"/>
          <w:szCs w:val="20"/>
          <w:lang w:val="en"/>
        </w:rPr>
        <w:t>Southeast Asian</w:t>
      </w:r>
      <w:r w:rsidRPr="00A910AA">
        <w:rPr>
          <w:rStyle w:val="jlqj4b"/>
          <w:rFonts w:asciiTheme="majorBidi" w:hAnsiTheme="majorBidi" w:cstheme="majorBidi"/>
          <w:sz w:val="20"/>
          <w:szCs w:val="20"/>
          <w:lang w:val="en"/>
        </w:rPr>
        <w:t xml:space="preserve"> countries (Singapore, Malaysia, Thailand, Indonesia, Thailand and Vietnam) it is projected at 37.6% from 2013 to 2018, growing from $ 7 billion to $ 34.5 billion.</w:t>
      </w:r>
      <w:r w:rsidRPr="00A910AA">
        <w:rPr>
          <w:rStyle w:val="viiyi"/>
          <w:rFonts w:asciiTheme="majorBidi" w:hAnsiTheme="majorBidi" w:cstheme="majorBidi"/>
          <w:sz w:val="20"/>
          <w:szCs w:val="20"/>
          <w:lang w:val="en"/>
        </w:rPr>
        <w:t xml:space="preserve"> </w:t>
      </w:r>
      <w:r w:rsidRPr="00A910AA">
        <w:rPr>
          <w:rStyle w:val="jlqj4b"/>
          <w:rFonts w:asciiTheme="majorBidi" w:hAnsiTheme="majorBidi" w:cstheme="majorBidi"/>
          <w:sz w:val="20"/>
          <w:szCs w:val="20"/>
          <w:lang w:val="en"/>
        </w:rPr>
        <w:t>Singapore and Malaysia generate nearly half of the total online retail sales in the region, even though they account for 8% of the region's population.</w:t>
      </w:r>
      <w:r>
        <w:rPr>
          <w:rStyle w:val="jlqj4b"/>
          <w:rFonts w:asciiTheme="majorBidi" w:hAnsiTheme="majorBidi" w:cstheme="majorBidi"/>
          <w:sz w:val="20"/>
          <w:szCs w:val="20"/>
          <w:lang w:val="en"/>
        </w:rPr>
        <w:t xml:space="preserve"> </w:t>
      </w:r>
      <w:r>
        <w:rPr>
          <w:rStyle w:val="jlqj4b"/>
          <w:rFonts w:asciiTheme="majorBidi" w:hAnsiTheme="majorBidi" w:cstheme="majorBidi"/>
          <w:sz w:val="20"/>
          <w:szCs w:val="20"/>
          <w:lang w:val="en"/>
        </w:rPr>
        <w:fldChar w:fldCharType="begin" w:fldLock="1"/>
      </w:r>
      <w:r w:rsidR="003B490A">
        <w:rPr>
          <w:rStyle w:val="jlqj4b"/>
          <w:rFonts w:asciiTheme="majorBidi" w:hAnsiTheme="majorBidi" w:cstheme="majorBidi"/>
          <w:sz w:val="20"/>
          <w:szCs w:val="20"/>
          <w:lang w:val="en"/>
        </w:rPr>
        <w:instrText>ADDIN CSL_CITATION {"citationItems":[{"id":"ITEM-1","itemData":{"author":[{"dropping-particle":"","family":"Nguyen","given":"Quan","non-dropping-particle":"","parse-names":false,"suffix":""}],"container-title":"Fast Forward Advisor","id":"ITEM-1","issued":{"date-parts":[["2017"]]},"title":"Cross-border B2C e-commerce in Southeast Asia: Key trends and solutions","type":"article-newspaper"},"uris":["http://www.mendeley.com/documents/?uuid=7aed3567-150a-4806-b1f6-25e203c4311c"]}],"mendeley":{"formattedCitation":"(Nguyen, 2017)","plainTextFormattedCitation":"(Nguyen, 2017)","previouslyFormattedCitation":"(Nguyen, 2017)"},"properties":{"noteIndex":0},"schema":"https://github.com/citation-style-language/schema/raw/master/csl-citation.json"}</w:instrText>
      </w:r>
      <w:r>
        <w:rPr>
          <w:rStyle w:val="jlqj4b"/>
          <w:rFonts w:asciiTheme="majorBidi" w:hAnsiTheme="majorBidi" w:cstheme="majorBidi"/>
          <w:sz w:val="20"/>
          <w:szCs w:val="20"/>
          <w:lang w:val="en"/>
        </w:rPr>
        <w:fldChar w:fldCharType="separate"/>
      </w:r>
      <w:r w:rsidRPr="00A910AA">
        <w:rPr>
          <w:rStyle w:val="jlqj4b"/>
          <w:rFonts w:asciiTheme="majorBidi" w:hAnsiTheme="majorBidi" w:cstheme="majorBidi"/>
          <w:noProof/>
          <w:sz w:val="20"/>
          <w:szCs w:val="20"/>
          <w:lang w:val="en"/>
        </w:rPr>
        <w:t>(Nguyen, 2017)</w:t>
      </w:r>
      <w:r>
        <w:rPr>
          <w:rStyle w:val="jlqj4b"/>
          <w:rFonts w:asciiTheme="majorBidi" w:hAnsiTheme="majorBidi" w:cstheme="majorBidi"/>
          <w:sz w:val="20"/>
          <w:szCs w:val="20"/>
          <w:lang w:val="en"/>
        </w:rPr>
        <w:fldChar w:fldCharType="end"/>
      </w:r>
    </w:p>
    <w:p w14:paraId="279B4153" w14:textId="77777777" w:rsidR="003B490A" w:rsidRDefault="003B490A" w:rsidP="00A910AA">
      <w:pPr>
        <w:spacing w:after="0" w:line="240" w:lineRule="auto"/>
        <w:jc w:val="both"/>
        <w:rPr>
          <w:rStyle w:val="jlqj4b"/>
          <w:rFonts w:asciiTheme="majorBidi" w:hAnsiTheme="majorBidi" w:cstheme="majorBidi"/>
          <w:sz w:val="20"/>
          <w:szCs w:val="20"/>
          <w:lang w:val="en"/>
        </w:rPr>
      </w:pPr>
    </w:p>
    <w:p w14:paraId="0A25D264" w14:textId="77777777" w:rsidR="003B490A" w:rsidRPr="003B490A" w:rsidRDefault="003B490A" w:rsidP="00A910AA">
      <w:pPr>
        <w:spacing w:after="0" w:line="240" w:lineRule="auto"/>
        <w:jc w:val="both"/>
        <w:rPr>
          <w:rStyle w:val="jlqj4b"/>
          <w:rFonts w:asciiTheme="majorBidi" w:hAnsiTheme="majorBidi" w:cstheme="majorBidi"/>
          <w:b/>
          <w:bCs/>
          <w:sz w:val="20"/>
          <w:szCs w:val="20"/>
          <w:lang w:val="en"/>
        </w:rPr>
      </w:pPr>
      <w:r w:rsidRPr="003B490A">
        <w:rPr>
          <w:rStyle w:val="jlqj4b"/>
          <w:rFonts w:asciiTheme="majorBidi" w:hAnsiTheme="majorBidi" w:cstheme="majorBidi"/>
          <w:b/>
          <w:bCs/>
          <w:sz w:val="20"/>
          <w:szCs w:val="20"/>
          <w:lang w:val="en"/>
        </w:rPr>
        <w:t xml:space="preserve">Middle Class Economic Growth Influences the Development of E-Commerce in Southeast Asia </w:t>
      </w:r>
    </w:p>
    <w:p w14:paraId="6804F382" w14:textId="77777777" w:rsidR="003B490A" w:rsidRDefault="003B490A" w:rsidP="00A910AA">
      <w:pPr>
        <w:spacing w:after="0" w:line="240" w:lineRule="auto"/>
        <w:jc w:val="both"/>
        <w:rPr>
          <w:rStyle w:val="jlqj4b"/>
          <w:rFonts w:asciiTheme="majorBidi" w:hAnsiTheme="majorBidi" w:cstheme="majorBidi"/>
          <w:sz w:val="20"/>
          <w:szCs w:val="20"/>
          <w:lang w:val="en"/>
        </w:rPr>
      </w:pPr>
      <w:r w:rsidRPr="003B490A">
        <w:rPr>
          <w:rStyle w:val="jlqj4b"/>
          <w:rFonts w:asciiTheme="majorBidi" w:hAnsiTheme="majorBidi" w:cstheme="majorBidi"/>
          <w:sz w:val="20"/>
          <w:szCs w:val="20"/>
          <w:lang w:val="en"/>
        </w:rPr>
        <w:t xml:space="preserve">E-commerce is emerging as a new way to help business firms compete in markets that contribute to economic growth by increasing business opportunities and increasing competitiveness and better market access. The relatively young population of Southeast Asia and better access to the internet on mobile devices can drive the growth of social commerce. According to a 2017 study by Hootsuite and We Are Social, around 47% (306 million) people in Southeast Asia are active social media users. Of these, 42% (273 million) access social media networks via mobile devices. </w:t>
      </w:r>
    </w:p>
    <w:p w14:paraId="20FEB060" w14:textId="77777777" w:rsidR="003B490A" w:rsidRDefault="003B490A" w:rsidP="00A910AA">
      <w:pPr>
        <w:spacing w:after="0" w:line="240" w:lineRule="auto"/>
        <w:jc w:val="both"/>
        <w:rPr>
          <w:rStyle w:val="jlqj4b"/>
          <w:rFonts w:asciiTheme="majorBidi" w:hAnsiTheme="majorBidi" w:cstheme="majorBidi"/>
          <w:sz w:val="20"/>
          <w:szCs w:val="20"/>
          <w:lang w:val="en"/>
        </w:rPr>
      </w:pPr>
      <w:r w:rsidRPr="003B490A">
        <w:rPr>
          <w:rStyle w:val="jlqj4b"/>
          <w:rFonts w:asciiTheme="majorBidi" w:hAnsiTheme="majorBidi" w:cstheme="majorBidi"/>
          <w:sz w:val="20"/>
          <w:szCs w:val="20"/>
          <w:lang w:val="en"/>
        </w:rPr>
        <w:t>Seven Southeast Asian countries have social media penetration rates that are higher than the global average of 37%, namely Brunei Darussalam, Singapore, Malaysia, Thailand, Philippines, Vietnam and Indonesia. In fact, the growth in the number of active social media users in these countries between January 2016 and January 2017 was above 20%. Indonesia (39%), Philippines (32%), and Vietnam (41%) were among the top ten countries with the highest growth of mobile social media users during the same period</w:t>
      </w:r>
      <w:r>
        <w:rPr>
          <w:rStyle w:val="jlqj4b"/>
          <w:rFonts w:asciiTheme="majorBidi" w:hAnsiTheme="majorBidi" w:cstheme="majorBidi"/>
          <w:sz w:val="20"/>
          <w:szCs w:val="20"/>
          <w:lang w:val="en"/>
        </w:rPr>
        <w:t xml:space="preserve">. </w:t>
      </w:r>
      <w:r>
        <w:rPr>
          <w:rStyle w:val="jlqj4b"/>
          <w:rFonts w:asciiTheme="majorBidi" w:hAnsiTheme="majorBidi" w:cstheme="majorBidi"/>
          <w:sz w:val="20"/>
          <w:szCs w:val="20"/>
          <w:lang w:val="en"/>
        </w:rPr>
        <w:fldChar w:fldCharType="begin" w:fldLock="1"/>
      </w:r>
      <w:r>
        <w:rPr>
          <w:rStyle w:val="jlqj4b"/>
          <w:rFonts w:asciiTheme="majorBidi" w:hAnsiTheme="majorBidi" w:cstheme="majorBidi"/>
          <w:sz w:val="20"/>
          <w:szCs w:val="20"/>
          <w:lang w:val="en"/>
        </w:rPr>
        <w:instrText>ADDIN CSL_CITATION {"citationItems":[{"id":"ITEM-1","itemData":{"author":[{"dropping-particle":"","family":"Nguyen","given":"Quan","non-dropping-particle":"","parse-names":false,"suffix":""}],"container-title":"Fast Forward Advisor","id":"ITEM-1","issued":{"date-parts":[["2017"]]},"title":"Cross-border B2C e-commerce in Southeast Asia: Key trends and solutions","type":"article-newspaper"},"uris":["http://www.mendeley.com/documents/?uuid=7aed3567-150a-4806-b1f6-25e203c4311c"]}],"mendeley":{"formattedCitation":"(Nguyen, 2017)","plainTextFormattedCitation":"(Nguyen, 2017)"},"properties":{"noteIndex":0},"schema":"https://github.com/citation-style-language/schema/raw/master/csl-citation.json"}</w:instrText>
      </w:r>
      <w:r>
        <w:rPr>
          <w:rStyle w:val="jlqj4b"/>
          <w:rFonts w:asciiTheme="majorBidi" w:hAnsiTheme="majorBidi" w:cstheme="majorBidi"/>
          <w:sz w:val="20"/>
          <w:szCs w:val="20"/>
          <w:lang w:val="en"/>
        </w:rPr>
        <w:fldChar w:fldCharType="separate"/>
      </w:r>
      <w:r w:rsidRPr="003B490A">
        <w:rPr>
          <w:rStyle w:val="jlqj4b"/>
          <w:rFonts w:asciiTheme="majorBidi" w:hAnsiTheme="majorBidi" w:cstheme="majorBidi"/>
          <w:noProof/>
          <w:sz w:val="20"/>
          <w:szCs w:val="20"/>
          <w:lang w:val="en"/>
        </w:rPr>
        <w:t>(Nguyen, 2017)</w:t>
      </w:r>
      <w:r>
        <w:rPr>
          <w:rStyle w:val="jlqj4b"/>
          <w:rFonts w:asciiTheme="majorBidi" w:hAnsiTheme="majorBidi" w:cstheme="majorBidi"/>
          <w:sz w:val="20"/>
          <w:szCs w:val="20"/>
          <w:lang w:val="en"/>
        </w:rPr>
        <w:fldChar w:fldCharType="end"/>
      </w:r>
    </w:p>
    <w:p w14:paraId="65C106CC" w14:textId="77777777" w:rsidR="003B490A" w:rsidRPr="003B490A" w:rsidRDefault="003B490A" w:rsidP="00A910AA">
      <w:pPr>
        <w:spacing w:after="0" w:line="240" w:lineRule="auto"/>
        <w:jc w:val="both"/>
        <w:rPr>
          <w:rStyle w:val="jlqj4b"/>
          <w:rFonts w:asciiTheme="majorBidi" w:hAnsiTheme="majorBidi" w:cstheme="majorBidi"/>
          <w:sz w:val="20"/>
          <w:szCs w:val="20"/>
          <w:lang w:val="en"/>
        </w:rPr>
      </w:pPr>
      <w:r w:rsidRPr="003B490A">
        <w:rPr>
          <w:rStyle w:val="jlqj4b"/>
          <w:rFonts w:asciiTheme="majorBidi" w:hAnsiTheme="majorBidi" w:cstheme="majorBidi"/>
          <w:sz w:val="20"/>
          <w:szCs w:val="20"/>
          <w:lang w:val="en"/>
        </w:rPr>
        <w:t>By engaging customers online directly and making business communications more direct, social media can help build consumer trust in the online transaction process and partly address the lack of security and trust around online payments and shipping.</w:t>
      </w:r>
      <w:r w:rsidRPr="003B490A">
        <w:rPr>
          <w:rStyle w:val="viiyi"/>
          <w:rFonts w:asciiTheme="majorBidi" w:hAnsiTheme="majorBidi" w:cstheme="majorBidi"/>
          <w:sz w:val="20"/>
          <w:szCs w:val="20"/>
          <w:lang w:val="en"/>
        </w:rPr>
        <w:t xml:space="preserve"> </w:t>
      </w:r>
      <w:r w:rsidRPr="003B490A">
        <w:rPr>
          <w:rStyle w:val="jlqj4b"/>
          <w:rFonts w:asciiTheme="majorBidi" w:hAnsiTheme="majorBidi" w:cstheme="majorBidi"/>
          <w:sz w:val="20"/>
          <w:szCs w:val="20"/>
          <w:lang w:val="en"/>
        </w:rPr>
        <w:t>Low levels of financial account ownership and credit / debit card penetration in Southeast Asian countries remain major challenges.</w:t>
      </w:r>
      <w:r w:rsidRPr="003B490A">
        <w:rPr>
          <w:rStyle w:val="viiyi"/>
          <w:rFonts w:asciiTheme="majorBidi" w:hAnsiTheme="majorBidi" w:cstheme="majorBidi"/>
          <w:sz w:val="20"/>
          <w:szCs w:val="20"/>
          <w:lang w:val="en"/>
        </w:rPr>
        <w:t xml:space="preserve"> </w:t>
      </w:r>
      <w:r w:rsidRPr="003B490A">
        <w:rPr>
          <w:rStyle w:val="jlqj4b"/>
          <w:rFonts w:asciiTheme="majorBidi" w:hAnsiTheme="majorBidi" w:cstheme="majorBidi"/>
          <w:sz w:val="20"/>
          <w:szCs w:val="20"/>
          <w:lang w:val="en"/>
        </w:rPr>
        <w:t>Currently, e-commerce is still largely held by local players.</w:t>
      </w:r>
      <w:r w:rsidRPr="003B490A">
        <w:rPr>
          <w:rStyle w:val="viiyi"/>
          <w:rFonts w:asciiTheme="majorBidi" w:hAnsiTheme="majorBidi" w:cstheme="majorBidi"/>
          <w:sz w:val="20"/>
          <w:szCs w:val="20"/>
          <w:lang w:val="en"/>
        </w:rPr>
        <w:t xml:space="preserve"> </w:t>
      </w:r>
      <w:r w:rsidRPr="003B490A">
        <w:rPr>
          <w:rStyle w:val="jlqj4b"/>
          <w:rFonts w:asciiTheme="majorBidi" w:hAnsiTheme="majorBidi" w:cstheme="majorBidi"/>
          <w:sz w:val="20"/>
          <w:szCs w:val="20"/>
          <w:lang w:val="en"/>
        </w:rPr>
        <w:t xml:space="preserve">Ultimately, for social media </w:t>
      </w:r>
      <w:r w:rsidRPr="003B490A">
        <w:rPr>
          <w:rStyle w:val="jlqj4b"/>
          <w:rFonts w:asciiTheme="majorBidi" w:hAnsiTheme="majorBidi" w:cstheme="majorBidi"/>
          <w:sz w:val="20"/>
          <w:szCs w:val="20"/>
          <w:lang w:val="en"/>
        </w:rPr>
        <w:t>to drive more e-commerce across borders, Southeast Asia must significantly expand consumer access to advanced payment systems operating in several countries, and develop strong logistics networks.</w:t>
      </w:r>
    </w:p>
    <w:p w14:paraId="392EBB98" w14:textId="77777777" w:rsidR="00A910AA" w:rsidRPr="003B490A" w:rsidRDefault="00A910AA" w:rsidP="002E5FEF">
      <w:pPr>
        <w:spacing w:after="0" w:line="240" w:lineRule="auto"/>
        <w:jc w:val="both"/>
        <w:rPr>
          <w:rStyle w:val="jlqj4b"/>
          <w:rFonts w:asciiTheme="majorBidi" w:hAnsiTheme="majorBidi" w:cstheme="majorBidi"/>
          <w:sz w:val="20"/>
          <w:szCs w:val="20"/>
          <w:lang w:val="en"/>
        </w:rPr>
      </w:pPr>
    </w:p>
    <w:p w14:paraId="50DF76E2" w14:textId="77777777" w:rsidR="00E17A2B" w:rsidRPr="00E17A2B" w:rsidRDefault="00E17A2B" w:rsidP="002E5FEF">
      <w:pPr>
        <w:spacing w:after="0" w:line="240" w:lineRule="auto"/>
        <w:jc w:val="both"/>
        <w:rPr>
          <w:rFonts w:asciiTheme="majorBidi" w:hAnsiTheme="majorBidi" w:cstheme="majorBidi"/>
          <w:bCs/>
          <w:sz w:val="20"/>
          <w:szCs w:val="20"/>
        </w:rPr>
      </w:pPr>
    </w:p>
    <w:p w14:paraId="27E08C94" w14:textId="77777777" w:rsidR="002E5FEF" w:rsidRDefault="00900EFC" w:rsidP="002E5FEF">
      <w:pPr>
        <w:spacing w:after="0" w:line="240" w:lineRule="auto"/>
        <w:jc w:val="both"/>
        <w:rPr>
          <w:rFonts w:ascii="Times New Roman" w:hAnsi="Times New Roman"/>
          <w:b/>
          <w:sz w:val="24"/>
        </w:rPr>
      </w:pPr>
      <w:r>
        <w:rPr>
          <w:rFonts w:ascii="Times New Roman" w:hAnsi="Times New Roman"/>
          <w:b/>
          <w:sz w:val="24"/>
        </w:rPr>
        <w:t>4</w:t>
      </w:r>
      <w:r w:rsidR="002E5FEF">
        <w:rPr>
          <w:rFonts w:ascii="Times New Roman" w:hAnsi="Times New Roman"/>
          <w:b/>
          <w:sz w:val="24"/>
        </w:rPr>
        <w:t>. Conclusion</w:t>
      </w:r>
    </w:p>
    <w:p w14:paraId="6C7DC063" w14:textId="77777777" w:rsidR="0042164A" w:rsidRDefault="006B77C5" w:rsidP="002E5FEF">
      <w:pPr>
        <w:spacing w:line="240" w:lineRule="auto"/>
        <w:jc w:val="both"/>
        <w:rPr>
          <w:rFonts w:ascii="Times New Roman" w:hAnsi="Times New Roman"/>
          <w:b/>
          <w:sz w:val="24"/>
          <w:lang w:eastAsia="ja-JP"/>
        </w:rPr>
      </w:pPr>
      <w:r>
        <w:rPr>
          <w:rFonts w:ascii="Times New Roman" w:hAnsi="Times New Roman"/>
          <w:b/>
          <w:sz w:val="24"/>
          <w:lang w:eastAsia="ja-JP"/>
        </w:rPr>
        <w:t xml:space="preserve">    </w:t>
      </w:r>
      <w:r w:rsidR="002E5FEF">
        <w:rPr>
          <w:rFonts w:ascii="Times New Roman" w:hAnsi="Times New Roman"/>
          <w:b/>
          <w:sz w:val="24"/>
          <w:lang w:eastAsia="ja-JP"/>
        </w:rPr>
        <w:t>(Times New Roman, 12pt, Bold)</w:t>
      </w:r>
    </w:p>
    <w:p w14:paraId="2F4A7FC4" w14:textId="77777777" w:rsidR="002E5FEF" w:rsidRPr="0042164A" w:rsidRDefault="003439A8" w:rsidP="002E5FEF">
      <w:pPr>
        <w:spacing w:line="240" w:lineRule="auto"/>
        <w:jc w:val="both"/>
        <w:rPr>
          <w:rFonts w:ascii="Times New Roman" w:hAnsi="Times New Roman"/>
          <w:b/>
          <w:sz w:val="24"/>
          <w:lang w:eastAsia="ja-JP"/>
        </w:rPr>
      </w:pPr>
      <w:r w:rsidRPr="003439A8">
        <w:rPr>
          <w:rStyle w:val="jlqj4b"/>
          <w:rFonts w:asciiTheme="majorBidi" w:hAnsiTheme="majorBidi" w:cstheme="majorBidi"/>
          <w:sz w:val="20"/>
          <w:szCs w:val="20"/>
          <w:lang w:val="en"/>
        </w:rPr>
        <w:t>It can be concluded that the growth of the middle class in the Southeast Asian region can have a positive effect on the development of e-commerce in ASEAN by utilizing technological and information advances in the digital economy era as follows: The economic growth of ASEAN has made countries in the Southeast Asian region move up the ranks of the middle class, which is indicated by an increase in per capita income between 4% and 7%. Increasing the use of internet and mobile phone technology that supports digital trade by utilizing internet technology for marketing. This has an impact on the growth of e commerce in Southeast Asia, both as a consumer and as a business. The growth of e-commerce in Asia provides significant market opportunities in addition to potential markets because the population, which is mostly dominated by millennials, also opens opportunities for small and medium enterprises to expand domestic markets to Asian markets through e-commerce. Key policy recommendations for Southeast Asian countries that wish to capitalize on social media and the volume potential of the middle class for e-commerce, namely increasing market access by removing digital trade barriers, introducing legal, regulatory and institutional reforms to accommodate e-business, facilitating access and connectivity , and enable e-payment, foster an enabling environment for digital businesses through investment, especially in local networks / ecosystems and improve the availability and quality of cross-border connectivity infrastructure</w:t>
      </w:r>
      <w:r w:rsidR="002E5FEF" w:rsidRPr="003439A8">
        <w:rPr>
          <w:rFonts w:asciiTheme="majorBidi" w:hAnsiTheme="majorBidi" w:cstheme="majorBidi"/>
          <w:sz w:val="20"/>
          <w:szCs w:val="20"/>
        </w:rPr>
        <w:t>.</w:t>
      </w:r>
      <w:r w:rsidR="002E5FEF">
        <w:rPr>
          <w:rFonts w:ascii="Times New Roman" w:hAnsi="Times New Roman"/>
          <w:sz w:val="20"/>
        </w:rPr>
        <w:t xml:space="preserve"> (</w:t>
      </w:r>
      <w:r w:rsidR="002E5FEF" w:rsidRPr="00AD577F">
        <w:rPr>
          <w:rFonts w:ascii="Times New Roman" w:hAnsi="Times New Roman"/>
          <w:b/>
          <w:sz w:val="20"/>
        </w:rPr>
        <w:t>10pt, single line spacing, Times New Roman</w:t>
      </w:r>
      <w:r w:rsidR="002E5FEF" w:rsidRPr="002E5FEF">
        <w:rPr>
          <w:rFonts w:ascii="Times New Roman" w:hAnsi="Times New Roman"/>
          <w:sz w:val="20"/>
        </w:rPr>
        <w:t>)</w:t>
      </w:r>
    </w:p>
    <w:p w14:paraId="581447F6" w14:textId="77777777" w:rsidR="002E0034" w:rsidRDefault="00900EFC" w:rsidP="000731A0">
      <w:pPr>
        <w:pStyle w:val="ChapterTitle"/>
        <w:spacing w:after="0"/>
        <w:rPr>
          <w:szCs w:val="20"/>
        </w:rPr>
      </w:pPr>
      <w:r>
        <w:rPr>
          <w:szCs w:val="20"/>
        </w:rPr>
        <w:t>5</w:t>
      </w:r>
      <w:r w:rsidR="008C0885">
        <w:rPr>
          <w:szCs w:val="20"/>
        </w:rPr>
        <w:t xml:space="preserve">. </w:t>
      </w:r>
      <w:r w:rsidR="002E0034" w:rsidRPr="000731A0">
        <w:rPr>
          <w:szCs w:val="20"/>
        </w:rPr>
        <w:t>Acknowledgments</w:t>
      </w:r>
      <w:r w:rsidR="000031F6">
        <w:rPr>
          <w:szCs w:val="20"/>
        </w:rPr>
        <w:t xml:space="preserve"> (Optional)</w:t>
      </w:r>
    </w:p>
    <w:p w14:paraId="1D198654" w14:textId="77777777" w:rsidR="000731A0" w:rsidRPr="000731A0" w:rsidRDefault="005010F0" w:rsidP="000731A0">
      <w:pPr>
        <w:rPr>
          <w:lang w:eastAsia="ja-JP"/>
        </w:rPr>
      </w:pPr>
      <w:r>
        <w:rPr>
          <w:rFonts w:ascii="Times New Roman" w:hAnsi="Times New Roman"/>
          <w:b/>
          <w:sz w:val="24"/>
          <w:lang w:eastAsia="ja-JP"/>
        </w:rPr>
        <w:t xml:space="preserve">    </w:t>
      </w:r>
      <w:r w:rsidR="000731A0">
        <w:rPr>
          <w:rFonts w:ascii="Times New Roman" w:hAnsi="Times New Roman"/>
          <w:b/>
          <w:sz w:val="24"/>
          <w:lang w:eastAsia="ja-JP"/>
        </w:rPr>
        <w:t>(Times New Roman, 12pt, Bold)</w:t>
      </w:r>
    </w:p>
    <w:p w14:paraId="774315CF" w14:textId="77777777" w:rsidR="000731A0" w:rsidRPr="0042164A" w:rsidRDefault="002E0034" w:rsidP="000731A0">
      <w:pPr>
        <w:pStyle w:val="TextBody"/>
        <w:ind w:firstLine="0"/>
        <w:rPr>
          <w:rFonts w:eastAsia="SimSun"/>
          <w:b/>
          <w:lang w:eastAsia="zh-CN"/>
        </w:rPr>
      </w:pPr>
      <w:r>
        <w:rPr>
          <w:color w:val="000000"/>
          <w:lang w:eastAsia="ja-JP"/>
        </w:rPr>
        <w:lastRenderedPageBreak/>
        <w:t>Insert acknowledgment, if any.</w:t>
      </w:r>
      <w:r w:rsidR="00205B27">
        <w:rPr>
          <w:color w:val="000000"/>
          <w:lang w:eastAsia="ja-JP"/>
        </w:rPr>
        <w:t xml:space="preserve"> </w:t>
      </w:r>
      <w:r w:rsidRPr="00523FEA">
        <w:rPr>
          <w:rFonts w:eastAsia="SimSun"/>
          <w:lang w:eastAsia="zh-CN"/>
        </w:rPr>
        <w:t xml:space="preserve">The preferred spelling of the word “acknowledgment” in American English is without an “e” after the “g.” Use the singular heading even if you have many acknowledgments. Avoid expressions such as “One of us (S.B.A.) would like to thank </w:t>
      </w:r>
      <w:proofErr w:type="gramStart"/>
      <w:r w:rsidRPr="00523FEA">
        <w:rPr>
          <w:rFonts w:eastAsia="SimSun"/>
          <w:lang w:eastAsia="zh-CN"/>
        </w:rPr>
        <w:t>... .</w:t>
      </w:r>
      <w:proofErr w:type="gramEnd"/>
      <w:r w:rsidRPr="00523FEA">
        <w:rPr>
          <w:rFonts w:eastAsia="SimSun"/>
          <w:lang w:eastAsia="zh-CN"/>
        </w:rPr>
        <w:t xml:space="preserve">” Instead, write “F. A. Author thanks </w:t>
      </w:r>
      <w:proofErr w:type="gramStart"/>
      <w:r w:rsidRPr="00523FEA">
        <w:rPr>
          <w:rFonts w:eastAsia="SimSun"/>
          <w:lang w:eastAsia="zh-CN"/>
        </w:rPr>
        <w:t>... .</w:t>
      </w:r>
      <w:proofErr w:type="gramEnd"/>
      <w:r w:rsidRPr="00523FEA">
        <w:rPr>
          <w:rFonts w:eastAsia="SimSun"/>
          <w:lang w:eastAsia="zh-CN"/>
        </w:rPr>
        <w:t xml:space="preserve">” Sponsor and financial support acknowledgments are </w:t>
      </w:r>
      <w:r>
        <w:rPr>
          <w:rFonts w:eastAsia="SimSun"/>
          <w:lang w:eastAsia="zh-CN"/>
        </w:rPr>
        <w:t xml:space="preserve">also </w:t>
      </w:r>
      <w:r w:rsidRPr="00523FEA">
        <w:rPr>
          <w:rFonts w:eastAsia="SimSun"/>
          <w:lang w:eastAsia="zh-CN"/>
        </w:rPr>
        <w:t>placed</w:t>
      </w:r>
      <w:r>
        <w:rPr>
          <w:rFonts w:eastAsia="SimSun"/>
          <w:lang w:eastAsia="zh-CN"/>
        </w:rPr>
        <w:t xml:space="preserve"> here</w:t>
      </w:r>
      <w:r w:rsidRPr="00523FEA">
        <w:rPr>
          <w:rFonts w:eastAsia="SimSun"/>
          <w:lang w:eastAsia="zh-CN"/>
        </w:rPr>
        <w:t>.</w:t>
      </w:r>
      <w:r w:rsidR="00882D90">
        <w:rPr>
          <w:rFonts w:eastAsia="SimSun"/>
          <w:lang w:eastAsia="zh-CN"/>
        </w:rPr>
        <w:t xml:space="preserve"> </w:t>
      </w:r>
      <w:r w:rsidR="000731A0">
        <w:t>(</w:t>
      </w:r>
      <w:r w:rsidR="000731A0" w:rsidRPr="0042164A">
        <w:rPr>
          <w:b/>
        </w:rPr>
        <w:t>10pt, single line spacing, Times New Roman)</w:t>
      </w:r>
    </w:p>
    <w:p w14:paraId="63A8A979" w14:textId="77777777" w:rsidR="002E0034" w:rsidRDefault="002E0034" w:rsidP="002E0034">
      <w:pPr>
        <w:tabs>
          <w:tab w:val="left" w:pos="240"/>
          <w:tab w:val="left" w:pos="3600"/>
        </w:tabs>
        <w:rPr>
          <w:color w:val="000000"/>
        </w:rPr>
      </w:pPr>
    </w:p>
    <w:p w14:paraId="587A69C9" w14:textId="77777777" w:rsidR="002E0034" w:rsidRDefault="00900EFC" w:rsidP="002E0034">
      <w:pPr>
        <w:pStyle w:val="ReferenceHeading"/>
        <w:ind w:left="282" w:hanging="282"/>
        <w:rPr>
          <w:sz w:val="24"/>
          <w:szCs w:val="24"/>
        </w:rPr>
      </w:pPr>
      <w:r>
        <w:rPr>
          <w:sz w:val="24"/>
          <w:szCs w:val="24"/>
        </w:rPr>
        <w:t>6</w:t>
      </w:r>
      <w:r w:rsidR="008C0885">
        <w:rPr>
          <w:sz w:val="24"/>
          <w:szCs w:val="24"/>
        </w:rPr>
        <w:t xml:space="preserve">. </w:t>
      </w:r>
      <w:r w:rsidR="002E0034" w:rsidRPr="00A229A6">
        <w:rPr>
          <w:sz w:val="24"/>
          <w:szCs w:val="24"/>
        </w:rPr>
        <w:t>References</w:t>
      </w:r>
    </w:p>
    <w:p w14:paraId="6B393443" w14:textId="77777777" w:rsidR="000731A0" w:rsidRPr="000731A0" w:rsidRDefault="000731A0" w:rsidP="000731A0">
      <w:pPr>
        <w:rPr>
          <w:lang w:eastAsia="ja-JP"/>
        </w:rPr>
      </w:pPr>
      <w:r>
        <w:rPr>
          <w:rFonts w:ascii="Times New Roman" w:hAnsi="Times New Roman"/>
          <w:b/>
          <w:sz w:val="24"/>
          <w:lang w:eastAsia="ja-JP"/>
        </w:rPr>
        <w:t>(Times New Roman, 12pt, Bold)</w:t>
      </w:r>
    </w:p>
    <w:p w14:paraId="0C96CBEE" w14:textId="77777777" w:rsidR="003B490A" w:rsidRPr="003B490A" w:rsidRDefault="001306B0" w:rsidP="003B490A">
      <w:pPr>
        <w:widowControl w:val="0"/>
        <w:autoSpaceDE w:val="0"/>
        <w:autoSpaceDN w:val="0"/>
        <w:adjustRightInd w:val="0"/>
        <w:spacing w:after="0" w:line="240" w:lineRule="auto"/>
        <w:ind w:left="480" w:hanging="480"/>
        <w:rPr>
          <w:rFonts w:ascii="Times New Roman" w:hAnsi="Times New Roman"/>
          <w:noProof/>
          <w:sz w:val="20"/>
          <w:szCs w:val="24"/>
        </w:rPr>
      </w:pPr>
      <w:r>
        <w:rPr>
          <w:rFonts w:ascii="Times New Roman" w:hAnsi="Times New Roman"/>
          <w:sz w:val="20"/>
        </w:rPr>
        <w:fldChar w:fldCharType="begin" w:fldLock="1"/>
      </w:r>
      <w:r>
        <w:rPr>
          <w:rFonts w:ascii="Times New Roman" w:hAnsi="Times New Roman"/>
          <w:sz w:val="20"/>
        </w:rPr>
        <w:instrText xml:space="preserve">ADDIN Mendeley Bibliography CSL_BIBLIOGRAPHY </w:instrText>
      </w:r>
      <w:r>
        <w:rPr>
          <w:rFonts w:ascii="Times New Roman" w:hAnsi="Times New Roman"/>
          <w:sz w:val="20"/>
        </w:rPr>
        <w:fldChar w:fldCharType="separate"/>
      </w:r>
      <w:r w:rsidR="003B490A" w:rsidRPr="003B490A">
        <w:rPr>
          <w:rFonts w:ascii="Times New Roman" w:hAnsi="Times New Roman"/>
          <w:noProof/>
          <w:sz w:val="20"/>
          <w:szCs w:val="24"/>
        </w:rPr>
        <w:t xml:space="preserve">Ashariyadi. (2016). Geliat UMKM di Era MEA. In </w:t>
      </w:r>
      <w:r w:rsidR="003B490A" w:rsidRPr="003B490A">
        <w:rPr>
          <w:rFonts w:ascii="Times New Roman" w:hAnsi="Times New Roman"/>
          <w:i/>
          <w:iCs/>
          <w:noProof/>
          <w:sz w:val="20"/>
          <w:szCs w:val="24"/>
        </w:rPr>
        <w:t>Masyarakat Asean</w:t>
      </w:r>
      <w:r w:rsidR="003B490A" w:rsidRPr="003B490A">
        <w:rPr>
          <w:rFonts w:ascii="Times New Roman" w:hAnsi="Times New Roman"/>
          <w:noProof/>
          <w:sz w:val="20"/>
          <w:szCs w:val="24"/>
        </w:rPr>
        <w:t>. https://www.kemlu.go.id/Majalah/Majalah Masyarakat ASEAN edisi 12.pdf</w:t>
      </w:r>
    </w:p>
    <w:p w14:paraId="101A17FF" w14:textId="77777777" w:rsidR="003B490A" w:rsidRPr="003B490A" w:rsidRDefault="003B490A" w:rsidP="003B490A">
      <w:pPr>
        <w:widowControl w:val="0"/>
        <w:autoSpaceDE w:val="0"/>
        <w:autoSpaceDN w:val="0"/>
        <w:adjustRightInd w:val="0"/>
        <w:spacing w:after="0" w:line="240" w:lineRule="auto"/>
        <w:ind w:left="480" w:hanging="480"/>
        <w:rPr>
          <w:rFonts w:ascii="Times New Roman" w:hAnsi="Times New Roman"/>
          <w:noProof/>
          <w:sz w:val="20"/>
          <w:szCs w:val="24"/>
        </w:rPr>
      </w:pPr>
      <w:r w:rsidRPr="003B490A">
        <w:rPr>
          <w:rFonts w:ascii="Times New Roman" w:hAnsi="Times New Roman"/>
          <w:noProof/>
          <w:sz w:val="20"/>
          <w:szCs w:val="24"/>
        </w:rPr>
        <w:t xml:space="preserve">AT Kearney. (2015). </w:t>
      </w:r>
      <w:r w:rsidRPr="003B490A">
        <w:rPr>
          <w:rFonts w:ascii="Times New Roman" w:hAnsi="Times New Roman"/>
          <w:i/>
          <w:iCs/>
          <w:noProof/>
          <w:sz w:val="20"/>
          <w:szCs w:val="24"/>
        </w:rPr>
        <w:t>Lifting the Barriers to E-Commerce in ASEAN</w:t>
      </w:r>
      <w:r w:rsidRPr="003B490A">
        <w:rPr>
          <w:rFonts w:ascii="Times New Roman" w:hAnsi="Times New Roman"/>
          <w:noProof/>
          <w:sz w:val="20"/>
          <w:szCs w:val="24"/>
        </w:rPr>
        <w:t>. 1–23. http://tinyurl.com/nf7uhw2</w:t>
      </w:r>
    </w:p>
    <w:p w14:paraId="54173D65" w14:textId="77777777" w:rsidR="003B490A" w:rsidRPr="003B490A" w:rsidRDefault="003B490A" w:rsidP="003B490A">
      <w:pPr>
        <w:widowControl w:val="0"/>
        <w:autoSpaceDE w:val="0"/>
        <w:autoSpaceDN w:val="0"/>
        <w:adjustRightInd w:val="0"/>
        <w:spacing w:after="0" w:line="240" w:lineRule="auto"/>
        <w:ind w:left="480" w:hanging="480"/>
        <w:rPr>
          <w:rFonts w:ascii="Times New Roman" w:hAnsi="Times New Roman"/>
          <w:noProof/>
          <w:sz w:val="20"/>
          <w:szCs w:val="24"/>
        </w:rPr>
      </w:pPr>
      <w:r w:rsidRPr="003B490A">
        <w:rPr>
          <w:rFonts w:ascii="Times New Roman" w:hAnsi="Times New Roman"/>
          <w:noProof/>
          <w:sz w:val="20"/>
          <w:szCs w:val="24"/>
        </w:rPr>
        <w:t xml:space="preserve">Dianari, R. G. F. (2017). the Impact of E-Commerce on Indonesia ’ S Economic Growth. </w:t>
      </w:r>
      <w:r w:rsidRPr="003B490A">
        <w:rPr>
          <w:rFonts w:ascii="Times New Roman" w:hAnsi="Times New Roman"/>
          <w:i/>
          <w:iCs/>
          <w:noProof/>
          <w:sz w:val="20"/>
          <w:szCs w:val="24"/>
        </w:rPr>
        <w:t>Universitas Katolik Parahyangan Fakultas Ekonomi Program Studi Sarjana Ekonomi Pembangunan</w:t>
      </w:r>
      <w:r w:rsidRPr="003B490A">
        <w:rPr>
          <w:rFonts w:ascii="Times New Roman" w:hAnsi="Times New Roman"/>
          <w:noProof/>
          <w:sz w:val="20"/>
          <w:szCs w:val="24"/>
        </w:rPr>
        <w:t xml:space="preserve">, </w:t>
      </w:r>
      <w:r w:rsidRPr="003B490A">
        <w:rPr>
          <w:rFonts w:ascii="Times New Roman" w:hAnsi="Times New Roman"/>
          <w:i/>
          <w:iCs/>
          <w:noProof/>
          <w:sz w:val="20"/>
          <w:szCs w:val="24"/>
        </w:rPr>
        <w:t>211</w:t>
      </w:r>
      <w:r w:rsidRPr="003B490A">
        <w:rPr>
          <w:rFonts w:ascii="Times New Roman" w:hAnsi="Times New Roman"/>
          <w:noProof/>
          <w:sz w:val="20"/>
          <w:szCs w:val="24"/>
        </w:rPr>
        <w:t>.</w:t>
      </w:r>
    </w:p>
    <w:p w14:paraId="1A9B2888" w14:textId="77777777" w:rsidR="003B490A" w:rsidRPr="003B490A" w:rsidRDefault="003B490A" w:rsidP="003B490A">
      <w:pPr>
        <w:widowControl w:val="0"/>
        <w:autoSpaceDE w:val="0"/>
        <w:autoSpaceDN w:val="0"/>
        <w:adjustRightInd w:val="0"/>
        <w:spacing w:after="0" w:line="240" w:lineRule="auto"/>
        <w:ind w:left="480" w:hanging="480"/>
        <w:rPr>
          <w:rFonts w:ascii="Times New Roman" w:hAnsi="Times New Roman"/>
          <w:noProof/>
          <w:sz w:val="20"/>
          <w:szCs w:val="24"/>
        </w:rPr>
      </w:pPr>
      <w:r w:rsidRPr="003B490A">
        <w:rPr>
          <w:rFonts w:ascii="Times New Roman" w:hAnsi="Times New Roman"/>
          <w:noProof/>
          <w:sz w:val="20"/>
          <w:szCs w:val="24"/>
        </w:rPr>
        <w:t xml:space="preserve">Fanzyl, A. (2016). </w:t>
      </w:r>
      <w:r w:rsidRPr="003B490A">
        <w:rPr>
          <w:rFonts w:ascii="Times New Roman" w:hAnsi="Times New Roman"/>
          <w:i/>
          <w:iCs/>
          <w:noProof/>
          <w:sz w:val="20"/>
          <w:szCs w:val="24"/>
        </w:rPr>
        <w:t>Overview of e-commerce in Southeast Asia</w:t>
      </w:r>
      <w:r w:rsidRPr="003B490A">
        <w:rPr>
          <w:rFonts w:ascii="Times New Roman" w:hAnsi="Times New Roman"/>
          <w:noProof/>
          <w:sz w:val="20"/>
          <w:szCs w:val="24"/>
        </w:rPr>
        <w:t>. https://aseanup.com/overview-of-e-commerce-in-southeast-asia/</w:t>
      </w:r>
    </w:p>
    <w:p w14:paraId="4D6E9EE8" w14:textId="77777777" w:rsidR="003B490A" w:rsidRPr="003B490A" w:rsidRDefault="003B490A" w:rsidP="003B490A">
      <w:pPr>
        <w:widowControl w:val="0"/>
        <w:autoSpaceDE w:val="0"/>
        <w:autoSpaceDN w:val="0"/>
        <w:adjustRightInd w:val="0"/>
        <w:spacing w:after="0" w:line="240" w:lineRule="auto"/>
        <w:ind w:left="480" w:hanging="480"/>
        <w:rPr>
          <w:rFonts w:ascii="Times New Roman" w:hAnsi="Times New Roman"/>
          <w:noProof/>
          <w:sz w:val="20"/>
          <w:szCs w:val="24"/>
        </w:rPr>
      </w:pPr>
      <w:r w:rsidRPr="003B490A">
        <w:rPr>
          <w:rFonts w:ascii="Times New Roman" w:hAnsi="Times New Roman"/>
          <w:noProof/>
          <w:sz w:val="20"/>
          <w:szCs w:val="24"/>
        </w:rPr>
        <w:t xml:space="preserve">Kharas, H. (2015). The Emerging Middle Class in Developing Country. </w:t>
      </w:r>
      <w:r w:rsidRPr="003B490A">
        <w:rPr>
          <w:rFonts w:ascii="Times New Roman" w:hAnsi="Times New Roman"/>
          <w:i/>
          <w:iCs/>
          <w:noProof/>
          <w:sz w:val="20"/>
          <w:szCs w:val="24"/>
        </w:rPr>
        <w:t>OECD Developing Center</w:t>
      </w:r>
      <w:r w:rsidRPr="003B490A">
        <w:rPr>
          <w:rFonts w:ascii="Times New Roman" w:hAnsi="Times New Roman"/>
          <w:noProof/>
          <w:sz w:val="20"/>
          <w:szCs w:val="24"/>
        </w:rPr>
        <w:t xml:space="preserve">, </w:t>
      </w:r>
      <w:r w:rsidRPr="003B490A">
        <w:rPr>
          <w:rFonts w:ascii="Times New Roman" w:hAnsi="Times New Roman"/>
          <w:i/>
          <w:iCs/>
          <w:noProof/>
          <w:sz w:val="20"/>
          <w:szCs w:val="24"/>
        </w:rPr>
        <w:t>02</w:t>
      </w:r>
      <w:r w:rsidRPr="003B490A">
        <w:rPr>
          <w:rFonts w:ascii="Times New Roman" w:hAnsi="Times New Roman"/>
          <w:noProof/>
          <w:sz w:val="20"/>
          <w:szCs w:val="24"/>
        </w:rPr>
        <w:t>(03), 131–133. https://doi.org/10.32677/ijch.2015.v02.i03.009</w:t>
      </w:r>
    </w:p>
    <w:p w14:paraId="27D2F849" w14:textId="77777777" w:rsidR="003B490A" w:rsidRPr="003B490A" w:rsidRDefault="003B490A" w:rsidP="003B490A">
      <w:pPr>
        <w:widowControl w:val="0"/>
        <w:autoSpaceDE w:val="0"/>
        <w:autoSpaceDN w:val="0"/>
        <w:adjustRightInd w:val="0"/>
        <w:spacing w:after="0" w:line="240" w:lineRule="auto"/>
        <w:ind w:left="480" w:hanging="480"/>
        <w:rPr>
          <w:rFonts w:ascii="Times New Roman" w:hAnsi="Times New Roman"/>
          <w:noProof/>
          <w:sz w:val="20"/>
          <w:szCs w:val="24"/>
        </w:rPr>
      </w:pPr>
      <w:r w:rsidRPr="003B490A">
        <w:rPr>
          <w:rFonts w:ascii="Times New Roman" w:hAnsi="Times New Roman"/>
          <w:noProof/>
          <w:sz w:val="20"/>
          <w:szCs w:val="24"/>
        </w:rPr>
        <w:t xml:space="preserve">Khudori. (2004). </w:t>
      </w:r>
      <w:r w:rsidRPr="003B490A">
        <w:rPr>
          <w:rFonts w:ascii="Times New Roman" w:hAnsi="Times New Roman"/>
          <w:i/>
          <w:iCs/>
          <w:noProof/>
          <w:sz w:val="20"/>
          <w:szCs w:val="24"/>
        </w:rPr>
        <w:t>Neoliberalisme Menumpas Petani</w:t>
      </w:r>
      <w:r w:rsidRPr="003B490A">
        <w:rPr>
          <w:rFonts w:ascii="Times New Roman" w:hAnsi="Times New Roman"/>
          <w:noProof/>
          <w:sz w:val="20"/>
          <w:szCs w:val="24"/>
        </w:rPr>
        <w:t xml:space="preserve"> (Pertama). Resist Book.</w:t>
      </w:r>
    </w:p>
    <w:p w14:paraId="638BBF5D" w14:textId="77777777" w:rsidR="003B490A" w:rsidRPr="003B490A" w:rsidRDefault="003B490A" w:rsidP="003B490A">
      <w:pPr>
        <w:widowControl w:val="0"/>
        <w:autoSpaceDE w:val="0"/>
        <w:autoSpaceDN w:val="0"/>
        <w:adjustRightInd w:val="0"/>
        <w:spacing w:after="0" w:line="240" w:lineRule="auto"/>
        <w:ind w:left="480" w:hanging="480"/>
        <w:rPr>
          <w:rFonts w:ascii="Times New Roman" w:hAnsi="Times New Roman"/>
          <w:noProof/>
          <w:sz w:val="20"/>
          <w:szCs w:val="24"/>
        </w:rPr>
      </w:pPr>
      <w:r w:rsidRPr="003B490A">
        <w:rPr>
          <w:rFonts w:ascii="Times New Roman" w:hAnsi="Times New Roman"/>
          <w:noProof/>
          <w:sz w:val="20"/>
          <w:szCs w:val="24"/>
        </w:rPr>
        <w:t xml:space="preserve">Lee, K. (2016). </w:t>
      </w:r>
      <w:r w:rsidRPr="003B490A">
        <w:rPr>
          <w:rFonts w:ascii="Times New Roman" w:hAnsi="Times New Roman"/>
          <w:i/>
          <w:iCs/>
          <w:noProof/>
          <w:sz w:val="20"/>
          <w:szCs w:val="24"/>
        </w:rPr>
        <w:t>Modern Consumerism in ASEAN: An Overview</w:t>
      </w:r>
      <w:r w:rsidRPr="003B490A">
        <w:rPr>
          <w:rFonts w:ascii="Times New Roman" w:hAnsi="Times New Roman"/>
          <w:noProof/>
          <w:sz w:val="20"/>
          <w:szCs w:val="24"/>
        </w:rPr>
        <w:t>. https://hkmb.hktdc.com/en/1X0A76ZJ</w:t>
      </w:r>
    </w:p>
    <w:p w14:paraId="0339517E" w14:textId="77777777" w:rsidR="003B490A" w:rsidRPr="003B490A" w:rsidRDefault="003B490A" w:rsidP="003B490A">
      <w:pPr>
        <w:widowControl w:val="0"/>
        <w:autoSpaceDE w:val="0"/>
        <w:autoSpaceDN w:val="0"/>
        <w:adjustRightInd w:val="0"/>
        <w:spacing w:after="0" w:line="240" w:lineRule="auto"/>
        <w:ind w:left="480" w:hanging="480"/>
        <w:rPr>
          <w:rFonts w:ascii="Times New Roman" w:hAnsi="Times New Roman"/>
          <w:noProof/>
          <w:sz w:val="20"/>
          <w:szCs w:val="24"/>
        </w:rPr>
      </w:pPr>
      <w:r w:rsidRPr="003B490A">
        <w:rPr>
          <w:rFonts w:ascii="Times New Roman" w:hAnsi="Times New Roman"/>
          <w:noProof/>
          <w:sz w:val="20"/>
          <w:szCs w:val="24"/>
        </w:rPr>
        <w:t xml:space="preserve">Nguyen, Q. (2017). Cross-border B2C e-commerce in Southeast Asia: Key trends and solutions. </w:t>
      </w:r>
      <w:r w:rsidRPr="003B490A">
        <w:rPr>
          <w:rFonts w:ascii="Times New Roman" w:hAnsi="Times New Roman"/>
          <w:i/>
          <w:iCs/>
          <w:noProof/>
          <w:sz w:val="20"/>
          <w:szCs w:val="24"/>
        </w:rPr>
        <w:t>Fast Forward Advisor</w:t>
      </w:r>
      <w:r w:rsidRPr="003B490A">
        <w:rPr>
          <w:rFonts w:ascii="Times New Roman" w:hAnsi="Times New Roman"/>
          <w:noProof/>
          <w:sz w:val="20"/>
          <w:szCs w:val="24"/>
        </w:rPr>
        <w:t>. https://medium.com/fast-forward-advisors-blog/cross-border-b2c-e-commerce-in-southeast-asia-key-trends-and-solutions-bcf34cdae939</w:t>
      </w:r>
    </w:p>
    <w:p w14:paraId="48F8082B" w14:textId="77777777" w:rsidR="003B490A" w:rsidRPr="003B490A" w:rsidRDefault="003B490A" w:rsidP="003B490A">
      <w:pPr>
        <w:widowControl w:val="0"/>
        <w:autoSpaceDE w:val="0"/>
        <w:autoSpaceDN w:val="0"/>
        <w:adjustRightInd w:val="0"/>
        <w:spacing w:after="0" w:line="240" w:lineRule="auto"/>
        <w:ind w:left="480" w:hanging="480"/>
        <w:rPr>
          <w:rFonts w:ascii="Times New Roman" w:hAnsi="Times New Roman"/>
          <w:noProof/>
          <w:sz w:val="20"/>
          <w:szCs w:val="24"/>
        </w:rPr>
      </w:pPr>
      <w:r w:rsidRPr="003B490A">
        <w:rPr>
          <w:rFonts w:ascii="Times New Roman" w:hAnsi="Times New Roman"/>
          <w:noProof/>
          <w:sz w:val="20"/>
          <w:szCs w:val="24"/>
        </w:rPr>
        <w:t xml:space="preserve">Ningrum, V., Adhi, I., Putri, P., &amp; Ekaputri, A. D. (2014). Penduduk Muda Kelas Menengah , Gaya Hidup , dan </w:t>
      </w:r>
      <w:r w:rsidRPr="003B490A">
        <w:rPr>
          <w:rFonts w:ascii="Times New Roman" w:hAnsi="Times New Roman"/>
          <w:noProof/>
          <w:sz w:val="20"/>
          <w:szCs w:val="24"/>
        </w:rPr>
        <w:t xml:space="preserve">Keterlibatan Politik : Studi Empiris Perkotaan di Jabodetabek ( Young Middle Class Population , Lifestyle and Political Participation : Em ... Peningkatan Penduduk Usia Muda dan Kelas Menengah. </w:t>
      </w:r>
      <w:r w:rsidRPr="003B490A">
        <w:rPr>
          <w:rFonts w:ascii="Times New Roman" w:hAnsi="Times New Roman"/>
          <w:i/>
          <w:iCs/>
          <w:noProof/>
          <w:sz w:val="20"/>
          <w:szCs w:val="24"/>
        </w:rPr>
        <w:t>Jurnal Kependudukan Indonesia</w:t>
      </w:r>
      <w:r w:rsidRPr="003B490A">
        <w:rPr>
          <w:rFonts w:ascii="Times New Roman" w:hAnsi="Times New Roman"/>
          <w:noProof/>
          <w:sz w:val="20"/>
          <w:szCs w:val="24"/>
        </w:rPr>
        <w:t xml:space="preserve">, </w:t>
      </w:r>
      <w:r w:rsidRPr="003B490A">
        <w:rPr>
          <w:rFonts w:ascii="Times New Roman" w:hAnsi="Times New Roman"/>
          <w:i/>
          <w:iCs/>
          <w:noProof/>
          <w:sz w:val="20"/>
          <w:szCs w:val="24"/>
        </w:rPr>
        <w:t>9</w:t>
      </w:r>
      <w:r w:rsidRPr="003B490A">
        <w:rPr>
          <w:rFonts w:ascii="Times New Roman" w:hAnsi="Times New Roman"/>
          <w:noProof/>
          <w:sz w:val="20"/>
          <w:szCs w:val="24"/>
        </w:rPr>
        <w:t>(2), 97–107. https://www.researchgate.net/publication/289970139_Penduduk_Muda_Kelas_Menengah_Gaya_Hidup_dan_Keterlibatan_Politik_Studi_Empiris_Perkotaan_di_Jabodetabek_Young_Middle_Class_Population_Lifestyle_and_Political_Participation_Empirical_Evidence_from_urba</w:t>
      </w:r>
    </w:p>
    <w:p w14:paraId="6E5E38B4" w14:textId="77777777" w:rsidR="003B490A" w:rsidRPr="003B490A" w:rsidRDefault="003B490A" w:rsidP="003B490A">
      <w:pPr>
        <w:widowControl w:val="0"/>
        <w:autoSpaceDE w:val="0"/>
        <w:autoSpaceDN w:val="0"/>
        <w:adjustRightInd w:val="0"/>
        <w:spacing w:after="0" w:line="240" w:lineRule="auto"/>
        <w:ind w:left="480" w:hanging="480"/>
        <w:rPr>
          <w:rFonts w:ascii="Times New Roman" w:hAnsi="Times New Roman"/>
          <w:noProof/>
          <w:sz w:val="20"/>
          <w:szCs w:val="24"/>
        </w:rPr>
      </w:pPr>
      <w:r w:rsidRPr="003B490A">
        <w:rPr>
          <w:rFonts w:ascii="Times New Roman" w:hAnsi="Times New Roman"/>
          <w:noProof/>
          <w:sz w:val="20"/>
          <w:szCs w:val="24"/>
        </w:rPr>
        <w:t xml:space="preserve">Nizar, M. A. (2015). Kelas Menengah (Middle Class) Dan Implikasinya Bagi Perekonomian Indonesia. </w:t>
      </w:r>
      <w:r w:rsidRPr="003B490A">
        <w:rPr>
          <w:rFonts w:ascii="Times New Roman" w:hAnsi="Times New Roman"/>
          <w:i/>
          <w:iCs/>
          <w:noProof/>
          <w:sz w:val="20"/>
          <w:szCs w:val="24"/>
        </w:rPr>
        <w:t>Bunga Rampai Ekonomi Keuangan</w:t>
      </w:r>
      <w:r w:rsidRPr="003B490A">
        <w:rPr>
          <w:rFonts w:ascii="Times New Roman" w:hAnsi="Times New Roman"/>
          <w:noProof/>
          <w:sz w:val="20"/>
          <w:szCs w:val="24"/>
        </w:rPr>
        <w:t xml:space="preserve">, </w:t>
      </w:r>
      <w:r w:rsidRPr="003B490A">
        <w:rPr>
          <w:rFonts w:ascii="Times New Roman" w:hAnsi="Times New Roman"/>
          <w:i/>
          <w:iCs/>
          <w:noProof/>
          <w:sz w:val="20"/>
          <w:szCs w:val="24"/>
        </w:rPr>
        <w:t>June</w:t>
      </w:r>
      <w:r w:rsidRPr="003B490A">
        <w:rPr>
          <w:rFonts w:ascii="Times New Roman" w:hAnsi="Times New Roman"/>
          <w:noProof/>
          <w:sz w:val="20"/>
          <w:szCs w:val="24"/>
        </w:rPr>
        <w:t>, 173–191.</w:t>
      </w:r>
    </w:p>
    <w:p w14:paraId="2FB2557E" w14:textId="77777777" w:rsidR="003B490A" w:rsidRPr="003B490A" w:rsidRDefault="003B490A" w:rsidP="003B490A">
      <w:pPr>
        <w:widowControl w:val="0"/>
        <w:autoSpaceDE w:val="0"/>
        <w:autoSpaceDN w:val="0"/>
        <w:adjustRightInd w:val="0"/>
        <w:spacing w:after="0" w:line="240" w:lineRule="auto"/>
        <w:ind w:left="480" w:hanging="480"/>
        <w:rPr>
          <w:rFonts w:ascii="Times New Roman" w:hAnsi="Times New Roman"/>
          <w:noProof/>
          <w:sz w:val="20"/>
          <w:szCs w:val="24"/>
        </w:rPr>
      </w:pPr>
      <w:r w:rsidRPr="003B490A">
        <w:rPr>
          <w:rFonts w:ascii="Times New Roman" w:hAnsi="Times New Roman"/>
          <w:noProof/>
          <w:sz w:val="20"/>
          <w:szCs w:val="24"/>
        </w:rPr>
        <w:t xml:space="preserve">OECD. (2002a). ANNEX 4. The OECD definitions of internet and e-commerce transactions. </w:t>
      </w:r>
      <w:r w:rsidRPr="003B490A">
        <w:rPr>
          <w:rFonts w:ascii="Times New Roman" w:hAnsi="Times New Roman"/>
          <w:i/>
          <w:iCs/>
          <w:noProof/>
          <w:sz w:val="20"/>
          <w:szCs w:val="24"/>
        </w:rPr>
        <w:t>Measuring the Information Economy</w:t>
      </w:r>
      <w:r w:rsidRPr="003B490A">
        <w:rPr>
          <w:rFonts w:ascii="Times New Roman" w:hAnsi="Times New Roman"/>
          <w:noProof/>
          <w:sz w:val="20"/>
          <w:szCs w:val="24"/>
        </w:rPr>
        <w:t xml:space="preserve">, </w:t>
      </w:r>
      <w:r w:rsidRPr="003B490A">
        <w:rPr>
          <w:rFonts w:ascii="Times New Roman" w:hAnsi="Times New Roman"/>
          <w:i/>
          <w:iCs/>
          <w:noProof/>
          <w:sz w:val="20"/>
          <w:szCs w:val="24"/>
        </w:rPr>
        <w:t>April 2000</w:t>
      </w:r>
      <w:r w:rsidRPr="003B490A">
        <w:rPr>
          <w:rFonts w:ascii="Times New Roman" w:hAnsi="Times New Roman"/>
          <w:noProof/>
          <w:sz w:val="20"/>
          <w:szCs w:val="24"/>
        </w:rPr>
        <w:t>, 89–90.</w:t>
      </w:r>
    </w:p>
    <w:p w14:paraId="67867F3D" w14:textId="77777777" w:rsidR="003B490A" w:rsidRPr="003B490A" w:rsidRDefault="003B490A" w:rsidP="003B490A">
      <w:pPr>
        <w:widowControl w:val="0"/>
        <w:autoSpaceDE w:val="0"/>
        <w:autoSpaceDN w:val="0"/>
        <w:adjustRightInd w:val="0"/>
        <w:spacing w:after="0" w:line="240" w:lineRule="auto"/>
        <w:ind w:left="480" w:hanging="480"/>
        <w:rPr>
          <w:rFonts w:ascii="Times New Roman" w:hAnsi="Times New Roman"/>
          <w:noProof/>
          <w:sz w:val="20"/>
          <w:szCs w:val="24"/>
        </w:rPr>
      </w:pPr>
      <w:r w:rsidRPr="003B490A">
        <w:rPr>
          <w:rFonts w:ascii="Times New Roman" w:hAnsi="Times New Roman"/>
          <w:noProof/>
          <w:sz w:val="20"/>
          <w:szCs w:val="24"/>
        </w:rPr>
        <w:t xml:space="preserve">OECD. (2002b). International Trade. </w:t>
      </w:r>
      <w:r w:rsidRPr="003B490A">
        <w:rPr>
          <w:rFonts w:ascii="Times New Roman" w:hAnsi="Times New Roman"/>
          <w:i/>
          <w:iCs/>
          <w:noProof/>
          <w:sz w:val="20"/>
          <w:szCs w:val="24"/>
        </w:rPr>
        <w:t>Glosarry OECD</w:t>
      </w:r>
      <w:r w:rsidRPr="003B490A">
        <w:rPr>
          <w:rFonts w:ascii="Times New Roman" w:hAnsi="Times New Roman"/>
          <w:noProof/>
          <w:sz w:val="20"/>
          <w:szCs w:val="24"/>
        </w:rPr>
        <w:t>. https://stats.oecd.org/glossary/detail.asp?ID=1405</w:t>
      </w:r>
    </w:p>
    <w:p w14:paraId="2DCC3767" w14:textId="77777777" w:rsidR="003B490A" w:rsidRPr="003B490A" w:rsidRDefault="003B490A" w:rsidP="003B490A">
      <w:pPr>
        <w:widowControl w:val="0"/>
        <w:autoSpaceDE w:val="0"/>
        <w:autoSpaceDN w:val="0"/>
        <w:adjustRightInd w:val="0"/>
        <w:spacing w:after="0" w:line="240" w:lineRule="auto"/>
        <w:ind w:left="480" w:hanging="480"/>
        <w:rPr>
          <w:rFonts w:ascii="Times New Roman" w:hAnsi="Times New Roman"/>
          <w:noProof/>
          <w:sz w:val="20"/>
          <w:szCs w:val="24"/>
        </w:rPr>
      </w:pPr>
      <w:r w:rsidRPr="003B490A">
        <w:rPr>
          <w:rFonts w:ascii="Times New Roman" w:hAnsi="Times New Roman"/>
          <w:noProof/>
          <w:sz w:val="20"/>
          <w:szCs w:val="24"/>
        </w:rPr>
        <w:t xml:space="preserve">Wu, C., &amp; Hui, M. (2015). </w:t>
      </w:r>
      <w:r w:rsidRPr="003B490A">
        <w:rPr>
          <w:rFonts w:ascii="Times New Roman" w:hAnsi="Times New Roman"/>
          <w:i/>
          <w:iCs/>
          <w:noProof/>
          <w:sz w:val="20"/>
          <w:szCs w:val="24"/>
        </w:rPr>
        <w:t>E-Commerce In Asia</w:t>
      </w:r>
      <w:r w:rsidRPr="003B490A">
        <w:rPr>
          <w:rFonts w:ascii="Times New Roman" w:hAnsi="Times New Roman"/>
          <w:noProof/>
          <w:sz w:val="20"/>
          <w:szCs w:val="24"/>
        </w:rPr>
        <w:t xml:space="preserve">. </w:t>
      </w:r>
      <w:r w:rsidRPr="003B490A">
        <w:rPr>
          <w:rFonts w:ascii="Times New Roman" w:hAnsi="Times New Roman"/>
          <w:i/>
          <w:iCs/>
          <w:noProof/>
          <w:sz w:val="20"/>
          <w:szCs w:val="24"/>
        </w:rPr>
        <w:t>October</w:t>
      </w:r>
      <w:r w:rsidRPr="003B490A">
        <w:rPr>
          <w:rFonts w:ascii="Times New Roman" w:hAnsi="Times New Roman"/>
          <w:noProof/>
          <w:sz w:val="20"/>
          <w:szCs w:val="24"/>
        </w:rPr>
        <w:t>.</w:t>
      </w:r>
    </w:p>
    <w:p w14:paraId="0E764802" w14:textId="77777777" w:rsidR="003B490A" w:rsidRPr="003B490A" w:rsidRDefault="003B490A" w:rsidP="003B490A">
      <w:pPr>
        <w:widowControl w:val="0"/>
        <w:autoSpaceDE w:val="0"/>
        <w:autoSpaceDN w:val="0"/>
        <w:adjustRightInd w:val="0"/>
        <w:spacing w:after="0" w:line="240" w:lineRule="auto"/>
        <w:ind w:left="480" w:hanging="480"/>
        <w:rPr>
          <w:rFonts w:ascii="Times New Roman" w:hAnsi="Times New Roman"/>
          <w:noProof/>
          <w:sz w:val="20"/>
        </w:rPr>
      </w:pPr>
      <w:r w:rsidRPr="003B490A">
        <w:rPr>
          <w:rFonts w:ascii="Times New Roman" w:hAnsi="Times New Roman"/>
          <w:noProof/>
          <w:sz w:val="20"/>
          <w:szCs w:val="24"/>
        </w:rPr>
        <w:t xml:space="preserve">Zaky, M. A., Nuzar, I., Saputro, W. E., Praysuta, B. D. S., Wijaya, S. B., &amp; Riswan, M. (2018). Mapping &amp; Database Startup Indonesia 2018. </w:t>
      </w:r>
      <w:r w:rsidRPr="003B490A">
        <w:rPr>
          <w:rFonts w:ascii="Times New Roman" w:hAnsi="Times New Roman"/>
          <w:i/>
          <w:iCs/>
          <w:noProof/>
          <w:sz w:val="20"/>
          <w:szCs w:val="24"/>
        </w:rPr>
        <w:t>Badan Ekonomi Kreatif</w:t>
      </w:r>
      <w:r w:rsidRPr="003B490A">
        <w:rPr>
          <w:rFonts w:ascii="Times New Roman" w:hAnsi="Times New Roman"/>
          <w:noProof/>
          <w:sz w:val="20"/>
          <w:szCs w:val="24"/>
        </w:rPr>
        <w:t>, 1–202.</w:t>
      </w:r>
    </w:p>
    <w:p w14:paraId="6AB5232E" w14:textId="77777777" w:rsidR="001306B0" w:rsidRDefault="001306B0" w:rsidP="003B490A">
      <w:pPr>
        <w:widowControl w:val="0"/>
        <w:autoSpaceDE w:val="0"/>
        <w:autoSpaceDN w:val="0"/>
        <w:adjustRightInd w:val="0"/>
        <w:spacing w:after="0" w:line="240" w:lineRule="auto"/>
        <w:ind w:left="480" w:hanging="480"/>
        <w:rPr>
          <w:rFonts w:ascii="Times New Roman" w:hAnsi="Times New Roman"/>
          <w:sz w:val="20"/>
        </w:rPr>
      </w:pPr>
      <w:r>
        <w:rPr>
          <w:rFonts w:ascii="Times New Roman" w:hAnsi="Times New Roman"/>
          <w:sz w:val="20"/>
        </w:rPr>
        <w:fldChar w:fldCharType="end"/>
      </w:r>
    </w:p>
    <w:sectPr w:rsidR="001306B0" w:rsidSect="00800C4A">
      <w:type w:val="continuous"/>
      <w:pgSz w:w="11907" w:h="16839" w:code="9"/>
      <w:pgMar w:top="2268" w:right="1701" w:bottom="1701" w:left="2268"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F84CA6" w14:textId="77777777" w:rsidR="007F1C8F" w:rsidRDefault="007F1C8F">
      <w:pPr>
        <w:spacing w:after="0" w:line="240" w:lineRule="auto"/>
      </w:pPr>
      <w:r>
        <w:separator/>
      </w:r>
    </w:p>
  </w:endnote>
  <w:endnote w:type="continuationSeparator" w:id="0">
    <w:p w14:paraId="51F7AEB7" w14:textId="77777777" w:rsidR="007F1C8F" w:rsidRDefault="007F1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entury">
    <w:panose1 w:val="020406030507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1508162"/>
      <w:docPartObj>
        <w:docPartGallery w:val="Page Numbers (Bottom of Page)"/>
        <w:docPartUnique/>
      </w:docPartObj>
    </w:sdtPr>
    <w:sdtEndPr>
      <w:rPr>
        <w:rFonts w:ascii="Times New Roman" w:hAnsi="Times New Roman"/>
        <w:noProof/>
        <w:sz w:val="24"/>
        <w:szCs w:val="24"/>
      </w:rPr>
    </w:sdtEndPr>
    <w:sdtContent>
      <w:p w14:paraId="2B404C7E" w14:textId="77777777" w:rsidR="009E51F9" w:rsidRPr="00800C4A" w:rsidRDefault="009E51F9">
        <w:pPr>
          <w:pStyle w:val="Footer"/>
          <w:rPr>
            <w:rFonts w:ascii="Times New Roman" w:hAnsi="Times New Roman"/>
            <w:sz w:val="24"/>
            <w:szCs w:val="24"/>
          </w:rPr>
        </w:pPr>
        <w:r w:rsidRPr="00800C4A">
          <w:rPr>
            <w:rFonts w:ascii="Times New Roman" w:hAnsi="Times New Roman"/>
            <w:sz w:val="24"/>
            <w:szCs w:val="24"/>
          </w:rPr>
          <w:fldChar w:fldCharType="begin"/>
        </w:r>
        <w:r w:rsidRPr="00800C4A">
          <w:rPr>
            <w:rFonts w:ascii="Times New Roman" w:hAnsi="Times New Roman"/>
            <w:sz w:val="24"/>
            <w:szCs w:val="24"/>
          </w:rPr>
          <w:instrText xml:space="preserve"> PAGE   \* MERGEFORMAT </w:instrText>
        </w:r>
        <w:r w:rsidRPr="00800C4A">
          <w:rPr>
            <w:rFonts w:ascii="Times New Roman" w:hAnsi="Times New Roman"/>
            <w:sz w:val="24"/>
            <w:szCs w:val="24"/>
          </w:rPr>
          <w:fldChar w:fldCharType="separate"/>
        </w:r>
        <w:r w:rsidR="003439A8">
          <w:rPr>
            <w:rFonts w:ascii="Times New Roman" w:hAnsi="Times New Roman"/>
            <w:noProof/>
            <w:sz w:val="24"/>
            <w:szCs w:val="24"/>
          </w:rPr>
          <w:t>2</w:t>
        </w:r>
        <w:r w:rsidRPr="00800C4A">
          <w:rPr>
            <w:rFonts w:ascii="Times New Roman" w:hAnsi="Times New Roman"/>
            <w:noProof/>
            <w:sz w:val="24"/>
            <w:szCs w:val="24"/>
          </w:rPr>
          <w:fldChar w:fldCharType="end"/>
        </w:r>
      </w:p>
    </w:sdtContent>
  </w:sdt>
  <w:p w14:paraId="5CC33D63" w14:textId="77777777" w:rsidR="009E51F9" w:rsidRDefault="009E5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C17A6A" w14:textId="77777777" w:rsidR="009E51F9" w:rsidRPr="00800C4A" w:rsidRDefault="009E51F9" w:rsidP="00800C4A">
    <w:pPr>
      <w:pStyle w:val="Footer"/>
      <w:jc w:val="right"/>
      <w:rPr>
        <w:rFonts w:ascii="Times New Roman" w:hAnsi="Times New Roman"/>
        <w:sz w:val="24"/>
        <w:szCs w:val="24"/>
      </w:rPr>
    </w:pPr>
    <w:r w:rsidRPr="00800C4A">
      <w:rPr>
        <w:rFonts w:ascii="Times New Roman" w:hAnsi="Times New Roman"/>
        <w:sz w:val="24"/>
        <w:szCs w:val="24"/>
      </w:rPr>
      <w:fldChar w:fldCharType="begin"/>
    </w:r>
    <w:r w:rsidRPr="00800C4A">
      <w:rPr>
        <w:rFonts w:ascii="Times New Roman" w:hAnsi="Times New Roman"/>
        <w:sz w:val="24"/>
        <w:szCs w:val="24"/>
      </w:rPr>
      <w:instrText xml:space="preserve"> PAGE   \* MERGEFORMAT </w:instrText>
    </w:r>
    <w:r w:rsidRPr="00800C4A">
      <w:rPr>
        <w:rFonts w:ascii="Times New Roman" w:hAnsi="Times New Roman"/>
        <w:sz w:val="24"/>
        <w:szCs w:val="24"/>
      </w:rPr>
      <w:fldChar w:fldCharType="separate"/>
    </w:r>
    <w:r w:rsidR="003439A8">
      <w:rPr>
        <w:rFonts w:ascii="Times New Roman" w:hAnsi="Times New Roman"/>
        <w:noProof/>
        <w:sz w:val="24"/>
        <w:szCs w:val="24"/>
      </w:rPr>
      <w:t>1</w:t>
    </w:r>
    <w:r w:rsidRPr="00800C4A">
      <w:rPr>
        <w:rFonts w:ascii="Times New Roman" w:hAnsi="Times New Roman"/>
        <w:sz w:val="24"/>
        <w:szCs w:val="24"/>
      </w:rPr>
      <w:fldChar w:fldCharType="end"/>
    </w:r>
  </w:p>
  <w:p w14:paraId="5281F2B3" w14:textId="77777777" w:rsidR="009E51F9" w:rsidRDefault="009E51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2A1B93" w14:textId="77777777" w:rsidR="007F1C8F" w:rsidRDefault="007F1C8F">
      <w:pPr>
        <w:spacing w:after="0" w:line="240" w:lineRule="auto"/>
      </w:pPr>
      <w:r>
        <w:separator/>
      </w:r>
    </w:p>
  </w:footnote>
  <w:footnote w:type="continuationSeparator" w:id="0">
    <w:p w14:paraId="1BE957E5" w14:textId="77777777" w:rsidR="007F1C8F" w:rsidRDefault="007F1C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3FECB" w14:textId="77777777" w:rsidR="009E51F9" w:rsidRDefault="009E51F9" w:rsidP="00800C4A">
    <w:pPr>
      <w:pStyle w:val="Header"/>
      <w:jc w:val="right"/>
      <w:rPr>
        <w:rFonts w:ascii="Times New Roman" w:hAnsi="Times New Roman"/>
        <w:sz w:val="20"/>
        <w:szCs w:val="20"/>
      </w:rPr>
    </w:pPr>
  </w:p>
  <w:p w14:paraId="37A28165" w14:textId="77777777" w:rsidR="009E51F9" w:rsidRPr="00800C4A" w:rsidRDefault="009E51F9" w:rsidP="00800C4A">
    <w:pPr>
      <w:pStyle w:val="Header"/>
      <w:jc w:val="right"/>
      <w:rPr>
        <w:rFonts w:ascii="Times New Roman" w:hAnsi="Times New Roman"/>
      </w:rPr>
    </w:pPr>
    <w:r>
      <w:rPr>
        <w:rFonts w:ascii="Times New Roman" w:hAnsi="Times New Roman"/>
        <w:noProof/>
      </w:rPr>
      <mc:AlternateContent>
        <mc:Choice Requires="wps">
          <w:drawing>
            <wp:anchor distT="0" distB="0" distL="114300" distR="114300" simplePos="0" relativeHeight="251662336" behindDoc="0" locked="0" layoutInCell="1" allowOverlap="1" wp14:anchorId="4C487084" wp14:editId="12116534">
              <wp:simplePos x="0" y="0"/>
              <wp:positionH relativeFrom="column">
                <wp:posOffset>-1120140</wp:posOffset>
              </wp:positionH>
              <wp:positionV relativeFrom="paragraph">
                <wp:posOffset>210820</wp:posOffset>
              </wp:positionV>
              <wp:extent cx="6812280" cy="635"/>
              <wp:effectExtent l="13335" t="10795" r="13335" b="762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2280" cy="635"/>
                      </a:xfrm>
                      <a:prstGeom prst="straightConnector1">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8ED6403" id="_x0000_t32" coordsize="21600,21600" o:spt="32" o:oned="t" path="m,l21600,21600e" filled="f">
              <v:path arrowok="t" fillok="f" o:connecttype="none"/>
              <o:lock v:ext="edit" shapetype="t"/>
            </v:shapetype>
            <v:shape id="Straight Arrow Connector 4" o:spid="_x0000_s1026" type="#_x0000_t32" style="position:absolute;margin-left:-88.2pt;margin-top:16.6pt;width:536.4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" strokecolor="blue" strokeweight="1pt"/>
          </w:pict>
        </mc:Fallback>
      </mc:AlternateContent>
    </w:r>
    <w:r w:rsidRPr="00E62781">
      <w:rPr>
        <w:rFonts w:ascii="Times New Roman" w:hAnsi="Times New Roman"/>
      </w:rPr>
      <w:t>Journal of Economic Empowerment Strategy (JEES)</w:t>
    </w:r>
    <w:r>
      <w:rPr>
        <w:rFonts w:ascii="Times New Roman" w:hAnsi="Times New Roman"/>
      </w:rPr>
      <w:t xml:space="preserve"> Vol. xx, Number xx, Month Year</w:t>
    </w:r>
    <w:r>
      <w:rPr>
        <w:rFonts w:ascii="Times New Roman" w:hAnsi="Times New Roman"/>
        <w:noProof/>
        <w:sz w:val="20"/>
        <w:szCs w:val="20"/>
      </w:rPr>
      <w:drawing>
        <wp:anchor distT="0" distB="0" distL="114300" distR="114300" simplePos="0" relativeHeight="251663360" behindDoc="1" locked="0" layoutInCell="1" allowOverlap="1" wp14:anchorId="406428EC" wp14:editId="5D82C5F1">
          <wp:simplePos x="0" y="0"/>
          <wp:positionH relativeFrom="margin">
            <wp:posOffset>205105</wp:posOffset>
          </wp:positionH>
          <wp:positionV relativeFrom="paragraph">
            <wp:posOffset>3693795</wp:posOffset>
          </wp:positionV>
          <wp:extent cx="4471747" cy="2263140"/>
          <wp:effectExtent l="0" t="0" r="5080" b="381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atermark JEES.jpg"/>
                  <pic:cNvPicPr/>
                </pic:nvPicPr>
                <pic:blipFill>
                  <a:blip r:embed="rId1" cstate="print">
                    <a:lum bright="70000" contrast="-70000"/>
                    <a:extLst>
                      <a:ext uri="{28A0092B-C50C-407E-A947-70E740481C1C}">
                        <a14:useLocalDpi xmlns:a14="http://schemas.microsoft.com/office/drawing/2010/main" val="0"/>
                      </a:ext>
                    </a:extLst>
                  </a:blip>
                  <a:stretch>
                    <a:fillRect/>
                  </a:stretch>
                </pic:blipFill>
                <pic:spPr>
                  <a:xfrm>
                    <a:off x="0" y="0"/>
                    <a:ext cx="4471747" cy="22631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3A285" w14:textId="77777777" w:rsidR="009E51F9" w:rsidRDefault="009E51F9" w:rsidP="00800C4A">
    <w:pPr>
      <w:pStyle w:val="Header"/>
      <w:jc w:val="right"/>
      <w:rPr>
        <w:rFonts w:ascii="Times New Roman" w:hAnsi="Times New Roman"/>
        <w:sz w:val="20"/>
        <w:szCs w:val="20"/>
      </w:rPr>
    </w:pPr>
  </w:p>
  <w:p w14:paraId="3D7E8A07" w14:textId="77777777" w:rsidR="009E51F9" w:rsidRPr="00800C4A" w:rsidRDefault="009E51F9" w:rsidP="00800C4A">
    <w:pPr>
      <w:pStyle w:val="Header"/>
      <w:jc w:val="right"/>
      <w:rPr>
        <w:rFonts w:ascii="Times New Roman" w:hAnsi="Times New Roman"/>
      </w:rPr>
    </w:pPr>
    <w:r>
      <w:rPr>
        <w:rFonts w:ascii="Times New Roman" w:hAnsi="Times New Roman"/>
        <w:noProof/>
      </w:rPr>
      <mc:AlternateContent>
        <mc:Choice Requires="wps">
          <w:drawing>
            <wp:anchor distT="0" distB="0" distL="114300" distR="114300" simplePos="0" relativeHeight="251659264" behindDoc="0" locked="0" layoutInCell="1" allowOverlap="1" wp14:anchorId="7CF09114" wp14:editId="33FAA700">
              <wp:simplePos x="0" y="0"/>
              <wp:positionH relativeFrom="column">
                <wp:posOffset>-1120140</wp:posOffset>
              </wp:positionH>
              <wp:positionV relativeFrom="paragraph">
                <wp:posOffset>210820</wp:posOffset>
              </wp:positionV>
              <wp:extent cx="6812280" cy="635"/>
              <wp:effectExtent l="13335" t="10795" r="13335" b="762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2280" cy="635"/>
                      </a:xfrm>
                      <a:prstGeom prst="straightConnector1">
                        <a:avLst/>
                      </a:prstGeom>
                      <a:noFill/>
                      <a:ln w="127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74B412" id="_x0000_t32" coordsize="21600,21600" o:spt="32" o:oned="t" path="m,l21600,21600e" filled="f">
              <v:path arrowok="t" fillok="f" o:connecttype="none"/>
              <o:lock v:ext="edit" shapetype="t"/>
            </v:shapetype>
            <v:shape id="Straight Arrow Connector 2" o:spid="_x0000_s1026" type="#_x0000_t32" style="position:absolute;margin-left:-88.2pt;margin-top:16.6pt;width:536.4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" strokecolor="blue" strokeweight="1pt"/>
          </w:pict>
        </mc:Fallback>
      </mc:AlternateContent>
    </w:r>
    <w:r w:rsidRPr="00E62781">
      <w:rPr>
        <w:rFonts w:ascii="Times New Roman" w:hAnsi="Times New Roman"/>
      </w:rPr>
      <w:t>Journal of Economic Empowerment Strategy (JEES)</w:t>
    </w:r>
    <w:r>
      <w:rPr>
        <w:rFonts w:ascii="Times New Roman" w:hAnsi="Times New Roman"/>
      </w:rPr>
      <w:t xml:space="preserve"> Vol. xx, Number xx, Month Year</w:t>
    </w:r>
    <w:r w:rsidRPr="003631FA">
      <w:rPr>
        <w:rFonts w:ascii="Times New Roman" w:hAnsi="Times New Roman"/>
      </w:rPr>
      <w:t xml:space="preserve"> </w:t>
    </w:r>
    <w:r>
      <w:rPr>
        <w:rFonts w:ascii="Times New Roman" w:hAnsi="Times New Roman"/>
        <w:noProof/>
        <w:sz w:val="20"/>
        <w:szCs w:val="20"/>
      </w:rPr>
      <w:drawing>
        <wp:anchor distT="0" distB="0" distL="114300" distR="114300" simplePos="0" relativeHeight="251660288" behindDoc="1" locked="0" layoutInCell="1" allowOverlap="1" wp14:anchorId="31E572DB" wp14:editId="4A741CD1">
          <wp:simplePos x="0" y="0"/>
          <wp:positionH relativeFrom="margin">
            <wp:posOffset>205105</wp:posOffset>
          </wp:positionH>
          <wp:positionV relativeFrom="paragraph">
            <wp:posOffset>3693795</wp:posOffset>
          </wp:positionV>
          <wp:extent cx="4471747" cy="2263140"/>
          <wp:effectExtent l="0" t="0" r="508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atermark JEES.jpg"/>
                  <pic:cNvPicPr/>
                </pic:nvPicPr>
                <pic:blipFill>
                  <a:blip r:embed="rId1" cstate="print">
                    <a:lum bright="70000" contrast="-70000"/>
                    <a:extLst>
                      <a:ext uri="{28A0092B-C50C-407E-A947-70E740481C1C}">
                        <a14:useLocalDpi xmlns:a14="http://schemas.microsoft.com/office/drawing/2010/main" val="0"/>
                      </a:ext>
                    </a:extLst>
                  </a:blip>
                  <a:stretch>
                    <a:fillRect/>
                  </a:stretch>
                </pic:blipFill>
                <pic:spPr>
                  <a:xfrm>
                    <a:off x="0" y="0"/>
                    <a:ext cx="4471747" cy="226314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0034"/>
    <w:rsid w:val="000031F6"/>
    <w:rsid w:val="00012542"/>
    <w:rsid w:val="000224BB"/>
    <w:rsid w:val="00023048"/>
    <w:rsid w:val="00025756"/>
    <w:rsid w:val="000264CE"/>
    <w:rsid w:val="000569EF"/>
    <w:rsid w:val="000731A0"/>
    <w:rsid w:val="00077AE3"/>
    <w:rsid w:val="000C4F36"/>
    <w:rsid w:val="000E163F"/>
    <w:rsid w:val="00103802"/>
    <w:rsid w:val="00110EEF"/>
    <w:rsid w:val="0011310F"/>
    <w:rsid w:val="001306B0"/>
    <w:rsid w:val="00186F7B"/>
    <w:rsid w:val="001B567B"/>
    <w:rsid w:val="001B5B3B"/>
    <w:rsid w:val="001E05AB"/>
    <w:rsid w:val="00205B27"/>
    <w:rsid w:val="00215646"/>
    <w:rsid w:val="00223591"/>
    <w:rsid w:val="00257B22"/>
    <w:rsid w:val="00295B3F"/>
    <w:rsid w:val="002E0034"/>
    <w:rsid w:val="002E5FEF"/>
    <w:rsid w:val="002E7859"/>
    <w:rsid w:val="00313A18"/>
    <w:rsid w:val="0032443D"/>
    <w:rsid w:val="00331E1C"/>
    <w:rsid w:val="003439A8"/>
    <w:rsid w:val="00374CD7"/>
    <w:rsid w:val="00390C07"/>
    <w:rsid w:val="003B490A"/>
    <w:rsid w:val="003E5A77"/>
    <w:rsid w:val="00411576"/>
    <w:rsid w:val="0042164A"/>
    <w:rsid w:val="0043628F"/>
    <w:rsid w:val="004577B3"/>
    <w:rsid w:val="004A3B41"/>
    <w:rsid w:val="004F59C7"/>
    <w:rsid w:val="005010F0"/>
    <w:rsid w:val="00503738"/>
    <w:rsid w:val="00514DAD"/>
    <w:rsid w:val="005370B2"/>
    <w:rsid w:val="005437C7"/>
    <w:rsid w:val="005A1920"/>
    <w:rsid w:val="005A3C39"/>
    <w:rsid w:val="005B1940"/>
    <w:rsid w:val="005F0A27"/>
    <w:rsid w:val="005F7794"/>
    <w:rsid w:val="006071B6"/>
    <w:rsid w:val="006255C9"/>
    <w:rsid w:val="006332A1"/>
    <w:rsid w:val="00644A0A"/>
    <w:rsid w:val="0065281C"/>
    <w:rsid w:val="00672E84"/>
    <w:rsid w:val="006A5CD9"/>
    <w:rsid w:val="006B5E90"/>
    <w:rsid w:val="006B77C5"/>
    <w:rsid w:val="006C79F5"/>
    <w:rsid w:val="006F6334"/>
    <w:rsid w:val="00713286"/>
    <w:rsid w:val="00721718"/>
    <w:rsid w:val="00722A10"/>
    <w:rsid w:val="00725912"/>
    <w:rsid w:val="00741164"/>
    <w:rsid w:val="00757996"/>
    <w:rsid w:val="00764993"/>
    <w:rsid w:val="007A1308"/>
    <w:rsid w:val="007B3396"/>
    <w:rsid w:val="007B5844"/>
    <w:rsid w:val="007F1C8F"/>
    <w:rsid w:val="007F3EF7"/>
    <w:rsid w:val="00800C4A"/>
    <w:rsid w:val="00854874"/>
    <w:rsid w:val="00882D90"/>
    <w:rsid w:val="00894453"/>
    <w:rsid w:val="008A0EE5"/>
    <w:rsid w:val="008A3DB6"/>
    <w:rsid w:val="008C0885"/>
    <w:rsid w:val="008D1EE2"/>
    <w:rsid w:val="008F7A10"/>
    <w:rsid w:val="00900EFC"/>
    <w:rsid w:val="00901D5E"/>
    <w:rsid w:val="00907806"/>
    <w:rsid w:val="00915B46"/>
    <w:rsid w:val="00924F03"/>
    <w:rsid w:val="0092570A"/>
    <w:rsid w:val="009E51F9"/>
    <w:rsid w:val="009E7BE5"/>
    <w:rsid w:val="00A05F1C"/>
    <w:rsid w:val="00A074F9"/>
    <w:rsid w:val="00A910AA"/>
    <w:rsid w:val="00AA6183"/>
    <w:rsid w:val="00AC3DEF"/>
    <w:rsid w:val="00AC6176"/>
    <w:rsid w:val="00AD577F"/>
    <w:rsid w:val="00AD7F28"/>
    <w:rsid w:val="00B17CF9"/>
    <w:rsid w:val="00B270FF"/>
    <w:rsid w:val="00B41A2F"/>
    <w:rsid w:val="00B65532"/>
    <w:rsid w:val="00BA2CEE"/>
    <w:rsid w:val="00BD4706"/>
    <w:rsid w:val="00C044A1"/>
    <w:rsid w:val="00C14291"/>
    <w:rsid w:val="00C3004F"/>
    <w:rsid w:val="00C55ABB"/>
    <w:rsid w:val="00C67A26"/>
    <w:rsid w:val="00C7472C"/>
    <w:rsid w:val="00C86518"/>
    <w:rsid w:val="00D43926"/>
    <w:rsid w:val="00D46C2E"/>
    <w:rsid w:val="00D50E92"/>
    <w:rsid w:val="00D8311F"/>
    <w:rsid w:val="00D8484B"/>
    <w:rsid w:val="00D878B0"/>
    <w:rsid w:val="00DA343A"/>
    <w:rsid w:val="00DD10A0"/>
    <w:rsid w:val="00E17A2B"/>
    <w:rsid w:val="00E362F5"/>
    <w:rsid w:val="00E372A7"/>
    <w:rsid w:val="00E70C90"/>
    <w:rsid w:val="00E74B37"/>
    <w:rsid w:val="00E900E5"/>
    <w:rsid w:val="00E9515B"/>
    <w:rsid w:val="00ED12D8"/>
    <w:rsid w:val="00F166C3"/>
    <w:rsid w:val="00F364F8"/>
    <w:rsid w:val="00F522A8"/>
    <w:rsid w:val="00F7500F"/>
    <w:rsid w:val="00FA2EFA"/>
    <w:rsid w:val="00FA74A0"/>
    <w:rsid w:val="00FE658D"/>
    <w:rsid w:val="00FF048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A91A81"/>
  <w15:docId w15:val="{EE363406-BDF8-4B5D-85DD-C03BB7681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034"/>
    <w:rPr>
      <w:rFonts w:ascii="Calibri" w:eastAsia="Calibri" w:hAnsi="Calibri" w:cs="Times New Roman"/>
      <w:lang w:val="en-US"/>
    </w:rPr>
  </w:style>
  <w:style w:type="paragraph" w:styleId="Heading2">
    <w:name w:val="heading 2"/>
    <w:basedOn w:val="Normal"/>
    <w:next w:val="Normal"/>
    <w:link w:val="Heading2Char"/>
    <w:uiPriority w:val="9"/>
    <w:semiHidden/>
    <w:unhideWhenUsed/>
    <w:qFormat/>
    <w:rsid w:val="009E51F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2E0034"/>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2E0034"/>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2E003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2E0034"/>
    <w:rPr>
      <w:rFonts w:ascii="Calibri" w:eastAsia="Times New Roman" w:hAnsi="Calibri" w:cs="Times New Roman"/>
      <w:b/>
      <w:bCs/>
      <w:i/>
      <w:iCs/>
      <w:sz w:val="26"/>
      <w:szCs w:val="26"/>
    </w:rPr>
  </w:style>
  <w:style w:type="paragraph" w:styleId="Footer">
    <w:name w:val="footer"/>
    <w:basedOn w:val="Normal"/>
    <w:link w:val="FooterChar"/>
    <w:uiPriority w:val="99"/>
    <w:unhideWhenUsed/>
    <w:rsid w:val="002E00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34"/>
    <w:rPr>
      <w:rFonts w:ascii="Calibri" w:eastAsia="Calibri" w:hAnsi="Calibri" w:cs="Times New Roman"/>
      <w:lang w:val="en-US"/>
    </w:rPr>
  </w:style>
  <w:style w:type="paragraph" w:customStyle="1" w:styleId="FigureCaption">
    <w:name w:val="Figure Caption"/>
    <w:basedOn w:val="Normal"/>
    <w:autoRedefine/>
    <w:rsid w:val="0042164A"/>
    <w:pPr>
      <w:spacing w:before="120" w:after="0" w:line="240" w:lineRule="auto"/>
      <w:jc w:val="both"/>
    </w:pPr>
    <w:rPr>
      <w:rFonts w:ascii="Times New Roman" w:eastAsia="Times New Roman" w:hAnsi="Times New Roman"/>
      <w:b/>
      <w:bCs/>
    </w:rPr>
  </w:style>
  <w:style w:type="paragraph" w:customStyle="1" w:styleId="ChapterTitle">
    <w:name w:val="Chapter Title"/>
    <w:basedOn w:val="Normal"/>
    <w:next w:val="Normal"/>
    <w:rsid w:val="002E0034"/>
    <w:pPr>
      <w:keepNext/>
      <w:spacing w:before="400" w:line="240" w:lineRule="auto"/>
      <w:ind w:left="282" w:hangingChars="117" w:hanging="282"/>
    </w:pPr>
    <w:rPr>
      <w:rFonts w:ascii="Times New Roman" w:eastAsia="MS Mincho" w:hAnsi="Times New Roman"/>
      <w:b/>
      <w:bCs/>
      <w:kern w:val="28"/>
      <w:sz w:val="24"/>
      <w:szCs w:val="24"/>
      <w:lang w:eastAsia="ja-JP"/>
    </w:rPr>
  </w:style>
  <w:style w:type="paragraph" w:customStyle="1" w:styleId="SectionHeading">
    <w:name w:val="SectionHeading"/>
    <w:basedOn w:val="Normal"/>
    <w:rsid w:val="002E0034"/>
    <w:pPr>
      <w:keepNext/>
      <w:keepLines/>
      <w:spacing w:before="200" w:line="240" w:lineRule="auto"/>
      <w:jc w:val="both"/>
    </w:pPr>
    <w:rPr>
      <w:rFonts w:ascii="Times New Roman" w:eastAsia="MS Mincho" w:hAnsi="Times New Roman"/>
      <w:kern w:val="28"/>
      <w:lang w:eastAsia="ja-JP"/>
    </w:rPr>
  </w:style>
  <w:style w:type="paragraph" w:customStyle="1" w:styleId="SammaryHeader">
    <w:name w:val="SammaryHeader"/>
    <w:basedOn w:val="ChapterTitle"/>
    <w:next w:val="Normal"/>
    <w:rsid w:val="002E0034"/>
    <w:pPr>
      <w:spacing w:before="0" w:after="0"/>
      <w:ind w:left="235" w:hanging="235"/>
      <w:jc w:val="both"/>
    </w:pPr>
    <w:rPr>
      <w:sz w:val="20"/>
      <w:szCs w:val="20"/>
    </w:rPr>
  </w:style>
  <w:style w:type="paragraph" w:customStyle="1" w:styleId="ReferenceHeading">
    <w:name w:val="Reference Heading"/>
    <w:basedOn w:val="SammaryHeader"/>
    <w:next w:val="Normal"/>
    <w:rsid w:val="002E0034"/>
  </w:style>
  <w:style w:type="paragraph" w:customStyle="1" w:styleId="KeywordsHeader">
    <w:name w:val="KeywordsHeader"/>
    <w:basedOn w:val="Normal"/>
    <w:link w:val="KeywordsHeaderChar"/>
    <w:rsid w:val="002E0034"/>
    <w:pPr>
      <w:keepNext/>
      <w:spacing w:after="0" w:line="240" w:lineRule="auto"/>
      <w:jc w:val="both"/>
    </w:pPr>
    <w:rPr>
      <w:rFonts w:ascii="Times New Roman" w:eastAsia="MS Mincho" w:hAnsi="Times New Roman"/>
      <w:b/>
      <w:bCs/>
      <w:i/>
      <w:iCs/>
      <w:sz w:val="20"/>
      <w:szCs w:val="20"/>
      <w:lang w:eastAsia="ja-JP"/>
    </w:rPr>
  </w:style>
  <w:style w:type="paragraph" w:customStyle="1" w:styleId="PaperTitle">
    <w:name w:val="PaperTitle"/>
    <w:basedOn w:val="Normal"/>
    <w:rsid w:val="002E0034"/>
    <w:pPr>
      <w:tabs>
        <w:tab w:val="left" w:pos="0"/>
      </w:tabs>
      <w:spacing w:before="120" w:after="400" w:line="240" w:lineRule="auto"/>
      <w:ind w:right="11"/>
      <w:jc w:val="both"/>
    </w:pPr>
    <w:rPr>
      <w:rFonts w:ascii="Century" w:eastAsia="MS Mincho" w:hAnsi="Century" w:cs="Century"/>
      <w:b/>
      <w:bCs/>
      <w:spacing w:val="-16"/>
      <w:kern w:val="24"/>
      <w:position w:val="10"/>
      <w:sz w:val="36"/>
      <w:szCs w:val="36"/>
      <w:lang w:eastAsia="ja-JP"/>
    </w:rPr>
  </w:style>
  <w:style w:type="paragraph" w:customStyle="1" w:styleId="Sammary">
    <w:name w:val="Sammary"/>
    <w:basedOn w:val="KeywordsHeader"/>
    <w:rsid w:val="002E0034"/>
    <w:rPr>
      <w:b w:val="0"/>
      <w:bCs w:val="0"/>
      <w:i w:val="0"/>
      <w:iCs w:val="0"/>
    </w:rPr>
  </w:style>
  <w:style w:type="paragraph" w:customStyle="1" w:styleId="Keywords">
    <w:name w:val="Keywords"/>
    <w:basedOn w:val="KeywordsHeader"/>
    <w:link w:val="KeywordsChar"/>
    <w:rsid w:val="002E0034"/>
    <w:rPr>
      <w:b w:val="0"/>
      <w:bCs w:val="0"/>
    </w:rPr>
  </w:style>
  <w:style w:type="paragraph" w:customStyle="1" w:styleId="TextBody">
    <w:name w:val="TextBody"/>
    <w:basedOn w:val="Normal"/>
    <w:rsid w:val="002E0034"/>
    <w:pPr>
      <w:spacing w:after="0" w:line="240" w:lineRule="auto"/>
      <w:ind w:firstLine="397"/>
      <w:jc w:val="both"/>
    </w:pPr>
    <w:rPr>
      <w:rFonts w:ascii="Times New Roman" w:eastAsia="MS Mincho" w:hAnsi="Times New Roman"/>
      <w:sz w:val="20"/>
      <w:szCs w:val="20"/>
    </w:rPr>
  </w:style>
  <w:style w:type="paragraph" w:customStyle="1" w:styleId="TableCaption">
    <w:name w:val="TableCaption"/>
    <w:basedOn w:val="Normal"/>
    <w:rsid w:val="002E0034"/>
    <w:pPr>
      <w:keepLines/>
      <w:spacing w:beforeLines="100" w:after="0" w:line="240" w:lineRule="auto"/>
      <w:jc w:val="center"/>
    </w:pPr>
    <w:rPr>
      <w:rFonts w:ascii="Times New Roman" w:eastAsia="MS Mincho" w:hAnsi="Times New Roman"/>
      <w:color w:val="000000"/>
      <w:sz w:val="16"/>
      <w:szCs w:val="16"/>
    </w:rPr>
  </w:style>
  <w:style w:type="paragraph" w:customStyle="1" w:styleId="FigCaption">
    <w:name w:val="FigCaption"/>
    <w:basedOn w:val="TableCaption"/>
    <w:rsid w:val="002E0034"/>
    <w:pPr>
      <w:spacing w:afterLines="100"/>
    </w:pPr>
  </w:style>
  <w:style w:type="paragraph" w:customStyle="1" w:styleId="AutoBiography">
    <w:name w:val="AutoBiography"/>
    <w:basedOn w:val="Normal"/>
    <w:rsid w:val="002E0034"/>
    <w:pPr>
      <w:spacing w:after="0" w:line="240" w:lineRule="auto"/>
      <w:jc w:val="both"/>
    </w:pPr>
    <w:rPr>
      <w:rFonts w:ascii="Times New Roman" w:eastAsia="MS Mincho" w:hAnsi="Times New Roman"/>
      <w:sz w:val="18"/>
      <w:szCs w:val="18"/>
    </w:rPr>
  </w:style>
  <w:style w:type="paragraph" w:styleId="PlainText">
    <w:name w:val="Plain Text"/>
    <w:basedOn w:val="Normal"/>
    <w:link w:val="PlainTextChar"/>
    <w:rsid w:val="002E0034"/>
    <w:pPr>
      <w:autoSpaceDE w:val="0"/>
      <w:autoSpaceDN w:val="0"/>
      <w:spacing w:after="0" w:line="240" w:lineRule="auto"/>
    </w:pPr>
    <w:rPr>
      <w:rFonts w:ascii="Courier New" w:eastAsia="SimSun" w:hAnsi="Courier New"/>
      <w:sz w:val="20"/>
      <w:szCs w:val="20"/>
    </w:rPr>
  </w:style>
  <w:style w:type="character" w:customStyle="1" w:styleId="PlainTextChar">
    <w:name w:val="Plain Text Char"/>
    <w:basedOn w:val="DefaultParagraphFont"/>
    <w:link w:val="PlainText"/>
    <w:rsid w:val="002E0034"/>
    <w:rPr>
      <w:rFonts w:ascii="Courier New" w:eastAsia="SimSun" w:hAnsi="Courier New" w:cs="Times New Roman"/>
      <w:sz w:val="20"/>
      <w:szCs w:val="20"/>
    </w:rPr>
  </w:style>
  <w:style w:type="character" w:customStyle="1" w:styleId="KeywordsHeaderChar">
    <w:name w:val="KeywordsHeader Char"/>
    <w:link w:val="KeywordsHeader"/>
    <w:locked/>
    <w:rsid w:val="002E0034"/>
    <w:rPr>
      <w:rFonts w:ascii="Times New Roman" w:eastAsia="MS Mincho" w:hAnsi="Times New Roman" w:cs="Times New Roman"/>
      <w:b/>
      <w:bCs/>
      <w:i/>
      <w:iCs/>
      <w:sz w:val="20"/>
      <w:szCs w:val="20"/>
      <w:lang w:eastAsia="ja-JP"/>
    </w:rPr>
  </w:style>
  <w:style w:type="character" w:customStyle="1" w:styleId="KeywordsChar">
    <w:name w:val="Keywords Char"/>
    <w:basedOn w:val="KeywordsHeaderChar"/>
    <w:link w:val="Keywords"/>
    <w:locked/>
    <w:rsid w:val="002E0034"/>
    <w:rPr>
      <w:rFonts w:ascii="Times New Roman" w:eastAsia="MS Mincho" w:hAnsi="Times New Roman" w:cs="Times New Roman"/>
      <w:b w:val="0"/>
      <w:bCs w:val="0"/>
      <w:i/>
      <w:iCs/>
      <w:sz w:val="20"/>
      <w:szCs w:val="20"/>
      <w:lang w:eastAsia="ja-JP"/>
    </w:rPr>
  </w:style>
  <w:style w:type="paragraph" w:customStyle="1" w:styleId="VITA">
    <w:name w:val="VITA"/>
    <w:basedOn w:val="Normal"/>
    <w:rsid w:val="002E0034"/>
    <w:pPr>
      <w:widowControl w:val="0"/>
      <w:tabs>
        <w:tab w:val="left" w:pos="216"/>
      </w:tabs>
      <w:spacing w:after="0" w:line="180" w:lineRule="exact"/>
      <w:jc w:val="both"/>
    </w:pPr>
    <w:rPr>
      <w:rFonts w:ascii="Helvetica" w:eastAsia="Times New Roman" w:hAnsi="Helvetica"/>
      <w:kern w:val="16"/>
      <w:sz w:val="16"/>
      <w:szCs w:val="20"/>
    </w:rPr>
  </w:style>
  <w:style w:type="paragraph" w:styleId="BalloonText">
    <w:name w:val="Balloon Text"/>
    <w:basedOn w:val="Normal"/>
    <w:link w:val="BalloonTextChar"/>
    <w:uiPriority w:val="99"/>
    <w:semiHidden/>
    <w:unhideWhenUsed/>
    <w:rsid w:val="002E00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034"/>
    <w:rPr>
      <w:rFonts w:ascii="Tahoma" w:eastAsia="Calibri" w:hAnsi="Tahoma" w:cs="Tahoma"/>
      <w:sz w:val="16"/>
      <w:szCs w:val="16"/>
      <w:lang w:val="en-US"/>
    </w:rPr>
  </w:style>
  <w:style w:type="character" w:styleId="Strong">
    <w:name w:val="Strong"/>
    <w:basedOn w:val="DefaultParagraphFont"/>
    <w:uiPriority w:val="22"/>
    <w:qFormat/>
    <w:rsid w:val="00C86518"/>
    <w:rPr>
      <w:b/>
      <w:bCs/>
    </w:rPr>
  </w:style>
  <w:style w:type="paragraph" w:styleId="Header">
    <w:name w:val="header"/>
    <w:basedOn w:val="Normal"/>
    <w:link w:val="HeaderChar"/>
    <w:uiPriority w:val="99"/>
    <w:unhideWhenUsed/>
    <w:rsid w:val="00800C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0C4A"/>
    <w:rPr>
      <w:rFonts w:ascii="Calibri" w:eastAsia="Calibri" w:hAnsi="Calibri" w:cs="Times New Roman"/>
      <w:lang w:val="en-US"/>
    </w:rPr>
  </w:style>
  <w:style w:type="character" w:customStyle="1" w:styleId="jlqj4b">
    <w:name w:val="jlqj4b"/>
    <w:basedOn w:val="DefaultParagraphFont"/>
    <w:rsid w:val="009E51F9"/>
  </w:style>
  <w:style w:type="character" w:customStyle="1" w:styleId="Heading2Char">
    <w:name w:val="Heading 2 Char"/>
    <w:basedOn w:val="DefaultParagraphFont"/>
    <w:link w:val="Heading2"/>
    <w:uiPriority w:val="9"/>
    <w:semiHidden/>
    <w:rsid w:val="009E51F9"/>
    <w:rPr>
      <w:rFonts w:asciiTheme="majorHAnsi" w:eastAsiaTheme="majorEastAsia" w:hAnsiTheme="majorHAnsi" w:cstheme="majorBidi"/>
      <w:b/>
      <w:bCs/>
      <w:color w:val="4F81BD" w:themeColor="accent1"/>
      <w:sz w:val="26"/>
      <w:szCs w:val="26"/>
      <w:lang w:val="en-US"/>
    </w:rPr>
  </w:style>
  <w:style w:type="character" w:customStyle="1" w:styleId="viiyi">
    <w:name w:val="viiyi"/>
    <w:basedOn w:val="DefaultParagraphFont"/>
    <w:rsid w:val="00854874"/>
  </w:style>
  <w:style w:type="paragraph" w:styleId="FootnoteText">
    <w:name w:val="footnote text"/>
    <w:basedOn w:val="Normal"/>
    <w:link w:val="FootnoteTextChar"/>
    <w:uiPriority w:val="99"/>
    <w:semiHidden/>
    <w:unhideWhenUsed/>
    <w:rsid w:val="00901D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1D5E"/>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901D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9653541">
      <w:bodyDiv w:val="1"/>
      <w:marLeft w:val="0"/>
      <w:marRight w:val="0"/>
      <w:marTop w:val="0"/>
      <w:marBottom w:val="0"/>
      <w:divBdr>
        <w:top w:val="none" w:sz="0" w:space="0" w:color="auto"/>
        <w:left w:val="none" w:sz="0" w:space="0" w:color="auto"/>
        <w:bottom w:val="none" w:sz="0" w:space="0" w:color="auto"/>
        <w:right w:val="none" w:sz="0" w:space="0" w:color="auto"/>
      </w:divBdr>
      <w:divsChild>
        <w:div w:id="1445077502">
          <w:marLeft w:val="0"/>
          <w:marRight w:val="0"/>
          <w:marTop w:val="0"/>
          <w:marBottom w:val="0"/>
          <w:divBdr>
            <w:top w:val="none" w:sz="0" w:space="0" w:color="auto"/>
            <w:left w:val="none" w:sz="0" w:space="0" w:color="auto"/>
            <w:bottom w:val="none" w:sz="0" w:space="0" w:color="auto"/>
            <w:right w:val="none" w:sz="0" w:space="0" w:color="auto"/>
          </w:divBdr>
          <w:divsChild>
            <w:div w:id="838153839">
              <w:marLeft w:val="0"/>
              <w:marRight w:val="0"/>
              <w:marTop w:val="0"/>
              <w:marBottom w:val="0"/>
              <w:divBdr>
                <w:top w:val="none" w:sz="0" w:space="0" w:color="auto"/>
                <w:left w:val="none" w:sz="0" w:space="0" w:color="auto"/>
                <w:bottom w:val="none" w:sz="0" w:space="0" w:color="auto"/>
                <w:right w:val="none" w:sz="0" w:space="0" w:color="auto"/>
              </w:divBdr>
              <w:divsChild>
                <w:div w:id="3984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963932">
          <w:marLeft w:val="0"/>
          <w:marRight w:val="0"/>
          <w:marTop w:val="0"/>
          <w:marBottom w:val="0"/>
          <w:divBdr>
            <w:top w:val="none" w:sz="0" w:space="0" w:color="auto"/>
            <w:left w:val="none" w:sz="0" w:space="0" w:color="auto"/>
            <w:bottom w:val="none" w:sz="0" w:space="0" w:color="auto"/>
            <w:right w:val="none" w:sz="0" w:space="0" w:color="auto"/>
          </w:divBdr>
        </w:div>
        <w:div w:id="1836023587">
          <w:marLeft w:val="0"/>
          <w:marRight w:val="0"/>
          <w:marTop w:val="0"/>
          <w:marBottom w:val="0"/>
          <w:divBdr>
            <w:top w:val="none" w:sz="0" w:space="0" w:color="auto"/>
            <w:left w:val="none" w:sz="0" w:space="0" w:color="auto"/>
            <w:bottom w:val="none" w:sz="0" w:space="0" w:color="auto"/>
            <w:right w:val="none" w:sz="0" w:space="0" w:color="auto"/>
          </w:divBdr>
          <w:divsChild>
            <w:div w:id="303317406">
              <w:marLeft w:val="0"/>
              <w:marRight w:val="0"/>
              <w:marTop w:val="0"/>
              <w:marBottom w:val="0"/>
              <w:divBdr>
                <w:top w:val="none" w:sz="0" w:space="0" w:color="auto"/>
                <w:left w:val="none" w:sz="0" w:space="0" w:color="auto"/>
                <w:bottom w:val="none" w:sz="0" w:space="0" w:color="auto"/>
                <w:right w:val="none" w:sz="0" w:space="0" w:color="auto"/>
              </w:divBdr>
              <w:divsChild>
                <w:div w:id="73933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1.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000" i="1">
                <a:latin typeface="Times New Roman" panose="02020603050405020304" pitchFamily="18" charset="0"/>
                <a:cs typeface="Times New Roman" panose="02020603050405020304" pitchFamily="18" charset="0"/>
              </a:rPr>
              <a:t>Middle Class</a:t>
            </a:r>
            <a:r>
              <a:rPr lang="en-US" sz="1000" i="1" baseline="0">
                <a:latin typeface="Times New Roman" panose="02020603050405020304" pitchFamily="18" charset="0"/>
                <a:cs typeface="Times New Roman" panose="02020603050405020304" pitchFamily="18" charset="0"/>
              </a:rPr>
              <a:t> Growth of ASEAN Countries in Per Cent (2012-2018)</a:t>
            </a:r>
          </a:p>
        </c:rich>
      </c:tx>
      <c:overlay val="0"/>
      <c:spPr>
        <a:noFill/>
        <a:ln>
          <a:noFill/>
        </a:ln>
        <a:effectLst/>
      </c:spPr>
    </c:title>
    <c:autoTitleDeleted val="0"/>
    <c:plotArea>
      <c:layout/>
      <c:barChart>
        <c:barDir val="bar"/>
        <c:grouping val="clustered"/>
        <c:varyColors val="0"/>
        <c:ser>
          <c:idx val="0"/>
          <c:order val="0"/>
          <c:tx>
            <c:strRef>
              <c:f>Sheet1!$B$1</c:f>
              <c:strCache>
                <c:ptCount val="1"/>
                <c:pt idx="0">
                  <c:v>2018</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Vietnam</c:v>
                </c:pt>
                <c:pt idx="1">
                  <c:v>Philippines</c:v>
                </c:pt>
                <c:pt idx="2">
                  <c:v>Thailand</c:v>
                </c:pt>
                <c:pt idx="3">
                  <c:v>Singapore</c:v>
                </c:pt>
                <c:pt idx="4">
                  <c:v>Malaysia</c:v>
                </c:pt>
                <c:pt idx="5">
                  <c:v>Indonesia</c:v>
                </c:pt>
                <c:pt idx="6">
                  <c:v>ASEAN</c:v>
                </c:pt>
              </c:strCache>
            </c:strRef>
          </c:cat>
          <c:val>
            <c:numRef>
              <c:f>Sheet1!$B$2:$B$8</c:f>
              <c:numCache>
                <c:formatCode>General</c:formatCode>
                <c:ptCount val="7"/>
                <c:pt idx="0">
                  <c:v>52</c:v>
                </c:pt>
                <c:pt idx="1">
                  <c:v>55</c:v>
                </c:pt>
                <c:pt idx="2">
                  <c:v>86</c:v>
                </c:pt>
                <c:pt idx="3">
                  <c:v>76</c:v>
                </c:pt>
                <c:pt idx="4">
                  <c:v>89</c:v>
                </c:pt>
                <c:pt idx="5">
                  <c:v>47</c:v>
                </c:pt>
                <c:pt idx="6">
                  <c:v>67</c:v>
                </c:pt>
              </c:numCache>
            </c:numRef>
          </c:val>
          <c:extLst>
            <c:ext xmlns:c16="http://schemas.microsoft.com/office/drawing/2014/chart" uri="{C3380CC4-5D6E-409C-BE32-E72D297353CC}">
              <c16:uniqueId val="{00000000-C2EF-4D56-88E9-AD7290CF6C01}"/>
            </c:ext>
          </c:extLst>
        </c:ser>
        <c:ser>
          <c:idx val="1"/>
          <c:order val="1"/>
          <c:tx>
            <c:strRef>
              <c:f>Sheet1!$C$1</c:f>
              <c:strCache>
                <c:ptCount val="1"/>
                <c:pt idx="0">
                  <c:v>2012</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Vietnam</c:v>
                </c:pt>
                <c:pt idx="1">
                  <c:v>Philippines</c:v>
                </c:pt>
                <c:pt idx="2">
                  <c:v>Thailand</c:v>
                </c:pt>
                <c:pt idx="3">
                  <c:v>Singapore</c:v>
                </c:pt>
                <c:pt idx="4">
                  <c:v>Malaysia</c:v>
                </c:pt>
                <c:pt idx="5">
                  <c:v>Indonesia</c:v>
                </c:pt>
                <c:pt idx="6">
                  <c:v>ASEAN</c:v>
                </c:pt>
              </c:strCache>
            </c:strRef>
          </c:cat>
          <c:val>
            <c:numRef>
              <c:f>Sheet1!$C$2:$C$8</c:f>
              <c:numCache>
                <c:formatCode>General</c:formatCode>
                <c:ptCount val="7"/>
                <c:pt idx="0">
                  <c:v>10</c:v>
                </c:pt>
                <c:pt idx="1">
                  <c:v>10</c:v>
                </c:pt>
                <c:pt idx="2">
                  <c:v>30</c:v>
                </c:pt>
                <c:pt idx="3">
                  <c:v>51</c:v>
                </c:pt>
                <c:pt idx="4">
                  <c:v>50</c:v>
                </c:pt>
                <c:pt idx="5">
                  <c:v>10</c:v>
                </c:pt>
                <c:pt idx="6">
                  <c:v>27</c:v>
                </c:pt>
              </c:numCache>
            </c:numRef>
          </c:val>
          <c:extLst>
            <c:ext xmlns:c16="http://schemas.microsoft.com/office/drawing/2014/chart" uri="{C3380CC4-5D6E-409C-BE32-E72D297353CC}">
              <c16:uniqueId val="{00000001-C2EF-4D56-88E9-AD7290CF6C01}"/>
            </c:ext>
          </c:extLst>
        </c:ser>
        <c:dLbls>
          <c:showLegendKey val="0"/>
          <c:showVal val="1"/>
          <c:showCatName val="0"/>
          <c:showSerName val="0"/>
          <c:showPercent val="0"/>
          <c:showBubbleSize val="0"/>
        </c:dLbls>
        <c:gapWidth val="150"/>
        <c:overlap val="-25"/>
        <c:axId val="413923200"/>
        <c:axId val="413924736"/>
      </c:barChart>
      <c:catAx>
        <c:axId val="4139232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3924736"/>
        <c:crosses val="autoZero"/>
        <c:auto val="1"/>
        <c:lblAlgn val="ctr"/>
        <c:lblOffset val="100"/>
        <c:noMultiLvlLbl val="0"/>
      </c:catAx>
      <c:valAx>
        <c:axId val="413924736"/>
        <c:scaling>
          <c:orientation val="minMax"/>
        </c:scaling>
        <c:delete val="1"/>
        <c:axPos val="b"/>
        <c:numFmt formatCode="General" sourceLinked="1"/>
        <c:majorTickMark val="none"/>
        <c:minorTickMark val="none"/>
        <c:tickLblPos val="nextTo"/>
        <c:crossAx val="41392320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AAEFC-AC64-453B-83E9-4764166C9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6</Pages>
  <Words>6340</Words>
  <Characters>36139</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Erlin Natawiria</dc:creator>
  <cp:lastModifiedBy>Muhammad Faza</cp:lastModifiedBy>
  <cp:revision>12</cp:revision>
  <cp:lastPrinted>2017-05-21T13:16:00Z</cp:lastPrinted>
  <dcterms:created xsi:type="dcterms:W3CDTF">2019-07-09T08:19:00Z</dcterms:created>
  <dcterms:modified xsi:type="dcterms:W3CDTF">2021-01-21T04:05:00Z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a9d3ce95-304b-3e90-a23a-276761f0216f</vt:lpwstr>
  </property>
  <property fmtid="{D5CDD505-2E9C-101B-9397-08002B2CF9AE}" pid="24" name="Mendeley Citation Style_1">
    <vt:lpwstr>http://www.zotero.org/styles/apa</vt:lpwstr>
  </property>
</Properties>
</file>